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98D3" w14:textId="77777777" w:rsidR="003D3EC8" w:rsidRDefault="003D3EC8" w:rsidP="003D3EC8">
      <w:pPr>
        <w:spacing w:after="0" w:line="240" w:lineRule="auto"/>
        <w:ind w:firstLine="709"/>
        <w:jc w:val="center"/>
        <w:rPr>
          <w:rStyle w:val="a3"/>
          <w:rFonts w:ascii="Times New Roman" w:hAnsi="Times New Roman" w:cs="Times New Roman"/>
          <w:color w:val="333333"/>
          <w:sz w:val="28"/>
          <w:szCs w:val="28"/>
          <w:shd w:val="clear" w:color="auto" w:fill="FFFFFF"/>
        </w:rPr>
      </w:pPr>
      <w:r>
        <w:rPr>
          <w:rStyle w:val="a3"/>
          <w:rFonts w:ascii="Times New Roman" w:hAnsi="Times New Roman" w:cs="Times New Roman"/>
          <w:color w:val="333333"/>
          <w:sz w:val="28"/>
          <w:szCs w:val="28"/>
          <w:shd w:val="clear" w:color="auto" w:fill="FFFFFF"/>
        </w:rPr>
        <w:t xml:space="preserve">Гражданская ответственность </w:t>
      </w:r>
      <w:proofErr w:type="spellStart"/>
      <w:r>
        <w:rPr>
          <w:rStyle w:val="a3"/>
          <w:rFonts w:ascii="Times New Roman" w:hAnsi="Times New Roman" w:cs="Times New Roman"/>
          <w:color w:val="333333"/>
          <w:sz w:val="28"/>
          <w:szCs w:val="28"/>
          <w:shd w:val="clear" w:color="auto" w:fill="FFFFFF"/>
        </w:rPr>
        <w:t>дропперов</w:t>
      </w:r>
      <w:proofErr w:type="spellEnd"/>
    </w:p>
    <w:p w14:paraId="41DA9059" w14:textId="77777777" w:rsidR="003D3EC8" w:rsidRDefault="003D3EC8" w:rsidP="003D3EC8">
      <w:pPr>
        <w:spacing w:after="0" w:line="240" w:lineRule="auto"/>
        <w:ind w:firstLine="709"/>
        <w:jc w:val="both"/>
        <w:rPr>
          <w:rStyle w:val="a3"/>
          <w:rFonts w:ascii="Times New Roman" w:hAnsi="Times New Roman" w:cs="Times New Roman"/>
          <w:color w:val="333333"/>
          <w:sz w:val="28"/>
          <w:szCs w:val="28"/>
          <w:shd w:val="clear" w:color="auto" w:fill="FFFFFF"/>
        </w:rPr>
      </w:pPr>
    </w:p>
    <w:p w14:paraId="78E07AEC" w14:textId="77777777" w:rsidR="003D3EC8" w:rsidRPr="00792C50" w:rsidRDefault="003D3EC8" w:rsidP="003D3EC8">
      <w:pPr>
        <w:spacing w:after="0" w:line="240" w:lineRule="auto"/>
        <w:ind w:firstLine="709"/>
        <w:jc w:val="both"/>
        <w:rPr>
          <w:rFonts w:ascii="Times New Roman" w:hAnsi="Times New Roman" w:cs="Times New Roman"/>
          <w:color w:val="333333"/>
          <w:sz w:val="28"/>
          <w:szCs w:val="28"/>
          <w:shd w:val="clear" w:color="auto" w:fill="FFFFFF"/>
        </w:rPr>
      </w:pPr>
      <w:proofErr w:type="spellStart"/>
      <w:r w:rsidRPr="00792C50">
        <w:rPr>
          <w:rStyle w:val="a3"/>
          <w:rFonts w:ascii="Times New Roman" w:hAnsi="Times New Roman" w:cs="Times New Roman"/>
          <w:b w:val="0"/>
          <w:color w:val="333333"/>
          <w:sz w:val="28"/>
          <w:szCs w:val="28"/>
          <w:shd w:val="clear" w:color="auto" w:fill="FFFFFF"/>
        </w:rPr>
        <w:t>Дропперы</w:t>
      </w:r>
      <w:proofErr w:type="spellEnd"/>
      <w:r w:rsidRPr="00792C50">
        <w:rPr>
          <w:rFonts w:ascii="Times New Roman" w:hAnsi="Times New Roman" w:cs="Times New Roman"/>
          <w:color w:val="333333"/>
          <w:sz w:val="28"/>
          <w:szCs w:val="28"/>
          <w:shd w:val="clear" w:color="auto" w:fill="FFFFFF"/>
        </w:rPr>
        <w:t> — это подставные лица, которых используют мошенники для вывода и обналичивания денежных средств, полученных преступным путём.  Они предоставляют данные своей банковской карты, на которую мошенники переводят средства, обналичивают полученную сумму в банкомате и передают или переводят другим лицам, получая определённый процент со сделки</w:t>
      </w:r>
    </w:p>
    <w:p w14:paraId="56D8B2B5" w14:textId="77777777" w:rsidR="003D3EC8" w:rsidRPr="00792C50" w:rsidRDefault="003D3EC8" w:rsidP="003D3EC8">
      <w:pPr>
        <w:pStyle w:val="p3"/>
        <w:shd w:val="clear" w:color="auto" w:fill="FFFFFF"/>
        <w:spacing w:before="0" w:beforeAutospacing="0" w:after="0" w:afterAutospacing="0"/>
        <w:ind w:firstLine="709"/>
        <w:jc w:val="both"/>
        <w:rPr>
          <w:color w:val="0A0A0B"/>
          <w:sz w:val="28"/>
          <w:szCs w:val="28"/>
        </w:rPr>
      </w:pPr>
      <w:r w:rsidRPr="00792C50">
        <w:rPr>
          <w:color w:val="000000" w:themeColor="text1"/>
          <w:sz w:val="28"/>
          <w:szCs w:val="28"/>
        </w:rPr>
        <w:t xml:space="preserve">В целом работа </w:t>
      </w:r>
      <w:proofErr w:type="spellStart"/>
      <w:r w:rsidRPr="00792C50">
        <w:rPr>
          <w:color w:val="000000" w:themeColor="text1"/>
          <w:sz w:val="28"/>
          <w:szCs w:val="28"/>
        </w:rPr>
        <w:t>дроппера</w:t>
      </w:r>
      <w:proofErr w:type="spellEnd"/>
      <w:r w:rsidRPr="00792C50">
        <w:rPr>
          <w:color w:val="000000" w:themeColor="text1"/>
          <w:sz w:val="28"/>
          <w:szCs w:val="28"/>
        </w:rPr>
        <w:t xml:space="preserve"> выглядит следующим образом: на его </w:t>
      </w:r>
      <w:hyperlink r:id="rId4" w:history="1">
        <w:r w:rsidRPr="00792C50">
          <w:rPr>
            <w:rStyle w:val="a4"/>
            <w:color w:val="000000" w:themeColor="text1"/>
            <w:sz w:val="28"/>
            <w:szCs w:val="28"/>
            <w:u w:val="none"/>
          </w:rPr>
          <w:t>банковскую карту</w:t>
        </w:r>
      </w:hyperlink>
      <w:r w:rsidRPr="00792C50">
        <w:rPr>
          <w:color w:val="000000" w:themeColor="text1"/>
          <w:sz w:val="28"/>
          <w:szCs w:val="28"/>
        </w:rPr>
        <w:t xml:space="preserve"> поступают средства, которые он должен либо обналичить и передать другому участнику цепочки, либо перевести </w:t>
      </w:r>
      <w:r w:rsidRPr="00792C50">
        <w:rPr>
          <w:color w:val="0A0A0B"/>
          <w:sz w:val="28"/>
          <w:szCs w:val="28"/>
        </w:rPr>
        <w:t xml:space="preserve">на другой счет, либо обменять на криптовалюту. Другой вариант </w:t>
      </w:r>
      <w:proofErr w:type="spellStart"/>
      <w:r w:rsidRPr="00792C50">
        <w:rPr>
          <w:color w:val="0A0A0B"/>
          <w:sz w:val="28"/>
          <w:szCs w:val="28"/>
        </w:rPr>
        <w:t>дропперства</w:t>
      </w:r>
      <w:proofErr w:type="spellEnd"/>
      <w:r w:rsidRPr="00792C50">
        <w:rPr>
          <w:color w:val="0A0A0B"/>
          <w:sz w:val="28"/>
          <w:szCs w:val="28"/>
        </w:rPr>
        <w:t>: человек передает мошенникам свою банковскую карту или предоставляет доступ в личный кабинет интернет-банка.</w:t>
      </w:r>
    </w:p>
    <w:p w14:paraId="524CB713" w14:textId="77777777" w:rsidR="003D3EC8" w:rsidRDefault="003D3EC8" w:rsidP="003D3EC8">
      <w:pPr>
        <w:pStyle w:val="p3"/>
        <w:shd w:val="clear" w:color="auto" w:fill="FFFFFF"/>
        <w:spacing w:before="0" w:beforeAutospacing="0" w:after="0" w:afterAutospacing="0"/>
        <w:ind w:firstLine="709"/>
        <w:jc w:val="both"/>
        <w:rPr>
          <w:color w:val="0A0A0B"/>
          <w:sz w:val="28"/>
          <w:szCs w:val="28"/>
        </w:rPr>
      </w:pPr>
      <w:r w:rsidRPr="00792C50">
        <w:rPr>
          <w:color w:val="0A0A0B"/>
          <w:sz w:val="28"/>
          <w:szCs w:val="28"/>
        </w:rPr>
        <w:t xml:space="preserve">Чем сложнее схема и больше посредников, тем легче конечным заказчикам запутать следы и остаться нераскрытыми. </w:t>
      </w:r>
    </w:p>
    <w:p w14:paraId="64182E44" w14:textId="19CD18A9" w:rsidR="003D3EC8" w:rsidRDefault="003D3EC8" w:rsidP="003D3EC8">
      <w:pPr>
        <w:pStyle w:val="p3"/>
        <w:shd w:val="clear" w:color="auto" w:fill="FFFFFF"/>
        <w:spacing w:before="0" w:beforeAutospacing="0" w:after="0" w:afterAutospacing="0"/>
        <w:ind w:firstLine="709"/>
        <w:jc w:val="both"/>
        <w:rPr>
          <w:color w:val="0A0A0B"/>
          <w:sz w:val="28"/>
          <w:szCs w:val="28"/>
        </w:rPr>
      </w:pPr>
      <w:r>
        <w:rPr>
          <w:color w:val="0A0A0B"/>
          <w:sz w:val="28"/>
          <w:szCs w:val="28"/>
        </w:rPr>
        <w:t xml:space="preserve">В рамках следствия в первую очередь устанавливаются именно </w:t>
      </w:r>
      <w:proofErr w:type="spellStart"/>
      <w:r>
        <w:rPr>
          <w:color w:val="0A0A0B"/>
          <w:sz w:val="28"/>
          <w:szCs w:val="28"/>
        </w:rPr>
        <w:t>дропперы</w:t>
      </w:r>
      <w:proofErr w:type="spellEnd"/>
      <w:r>
        <w:rPr>
          <w:color w:val="0A0A0B"/>
          <w:sz w:val="28"/>
          <w:szCs w:val="28"/>
        </w:rPr>
        <w:t xml:space="preserve">, </w:t>
      </w:r>
      <w:r w:rsidR="004520A0">
        <w:rPr>
          <w:color w:val="0A0A0B"/>
          <w:sz w:val="28"/>
          <w:szCs w:val="28"/>
        </w:rPr>
        <w:t>на</w:t>
      </w:r>
      <w:r>
        <w:rPr>
          <w:color w:val="0A0A0B"/>
          <w:sz w:val="28"/>
          <w:szCs w:val="28"/>
        </w:rPr>
        <w:t xml:space="preserve"> банковские счета</w:t>
      </w:r>
      <w:r w:rsidR="004520A0">
        <w:rPr>
          <w:color w:val="0A0A0B"/>
          <w:sz w:val="28"/>
          <w:szCs w:val="28"/>
        </w:rPr>
        <w:t xml:space="preserve"> которых </w:t>
      </w:r>
      <w:r w:rsidR="004520A0" w:rsidRPr="00EF427B">
        <w:rPr>
          <w:sz w:val="28"/>
          <w:szCs w:val="28"/>
        </w:rPr>
        <w:t xml:space="preserve">без каких-либо на то законных оснований </w:t>
      </w:r>
      <w:r w:rsidR="004520A0">
        <w:rPr>
          <w:sz w:val="28"/>
          <w:szCs w:val="28"/>
        </w:rPr>
        <w:t>по</w:t>
      </w:r>
      <w:r w:rsidR="004520A0">
        <w:rPr>
          <w:sz w:val="28"/>
          <w:szCs w:val="28"/>
        </w:rPr>
        <w:t>ступают</w:t>
      </w:r>
      <w:r w:rsidR="004520A0" w:rsidRPr="00EF427B">
        <w:rPr>
          <w:sz w:val="28"/>
          <w:szCs w:val="28"/>
        </w:rPr>
        <w:t xml:space="preserve"> денежные средства</w:t>
      </w:r>
      <w:r w:rsidR="004520A0">
        <w:rPr>
          <w:sz w:val="28"/>
          <w:szCs w:val="28"/>
        </w:rPr>
        <w:t xml:space="preserve"> потерпевших.</w:t>
      </w:r>
    </w:p>
    <w:p w14:paraId="6F102795" w14:textId="77777777" w:rsidR="004520A0" w:rsidRDefault="004520A0" w:rsidP="004520A0">
      <w:pPr>
        <w:spacing w:after="0" w:line="240" w:lineRule="auto"/>
        <w:ind w:firstLine="708"/>
        <w:contextualSpacing/>
        <w:jc w:val="both"/>
        <w:rPr>
          <w:rFonts w:ascii="Times New Roman" w:hAnsi="Times New Roman" w:cs="Times New Roman"/>
          <w:sz w:val="28"/>
          <w:szCs w:val="28"/>
        </w:rPr>
      </w:pPr>
      <w:r w:rsidRPr="00EF427B">
        <w:rPr>
          <w:rFonts w:ascii="Times New Roman" w:hAnsi="Times New Roman" w:cs="Times New Roman"/>
          <w:sz w:val="28"/>
          <w:szCs w:val="28"/>
        </w:rPr>
        <w:t>Статьей 12 ГК РФ</w:t>
      </w:r>
      <w:r w:rsidRPr="00EF427B">
        <w:rPr>
          <w:rFonts w:ascii="Times New Roman" w:hAnsi="Times New Roman" w:cs="Times New Roman"/>
          <w:sz w:val="28"/>
          <w:szCs w:val="28"/>
          <w:lang w:eastAsia="ru-RU"/>
        </w:rPr>
        <w:t xml:space="preserve"> </w:t>
      </w:r>
      <w:r w:rsidRPr="00EF427B">
        <w:rPr>
          <w:rFonts w:ascii="Times New Roman" w:hAnsi="Times New Roman" w:cs="Times New Roman"/>
          <w:sz w:val="28"/>
          <w:szCs w:val="28"/>
        </w:rPr>
        <w:t>к способам защиты гражданских прав, наряду с иными, отнесено взыскание неосновательного обогащения (статья 1102 ГК РФ).</w:t>
      </w:r>
    </w:p>
    <w:p w14:paraId="59CB6F25" w14:textId="77777777" w:rsidR="004520A0" w:rsidRPr="00334A47" w:rsidRDefault="004520A0" w:rsidP="004520A0">
      <w:pPr>
        <w:spacing w:after="0" w:line="240" w:lineRule="auto"/>
        <w:ind w:firstLine="708"/>
        <w:contextualSpacing/>
        <w:jc w:val="both"/>
        <w:rPr>
          <w:rFonts w:ascii="Times New Roman" w:hAnsi="Times New Roman" w:cs="Times New Roman"/>
          <w:sz w:val="28"/>
          <w:szCs w:val="28"/>
        </w:rPr>
      </w:pPr>
      <w:r w:rsidRPr="00334A47">
        <w:rPr>
          <w:rFonts w:ascii="Times New Roman" w:hAnsi="Times New Roman" w:cs="Times New Roman"/>
          <w:sz w:val="28"/>
          <w:szCs w:val="28"/>
        </w:rPr>
        <w:t>Согласно п.2 ст. 1107 ГК РФ на сумму неосновательного обогащения подлежат начислению проценты за пользование чужими денежными средствами с того времени, когда приобретатель должен был узнать о неосновательности получения или сбережения денежных средств.</w:t>
      </w:r>
    </w:p>
    <w:p w14:paraId="6C73CD8F" w14:textId="77777777" w:rsidR="004520A0" w:rsidRPr="00334A47" w:rsidRDefault="004520A0" w:rsidP="004520A0">
      <w:pPr>
        <w:spacing w:after="0" w:line="240" w:lineRule="auto"/>
        <w:ind w:firstLine="708"/>
        <w:contextualSpacing/>
        <w:jc w:val="both"/>
        <w:rPr>
          <w:rFonts w:ascii="Times New Roman" w:hAnsi="Times New Roman" w:cs="Times New Roman"/>
          <w:sz w:val="28"/>
          <w:szCs w:val="28"/>
        </w:rPr>
      </w:pPr>
      <w:r w:rsidRPr="00334A47">
        <w:rPr>
          <w:rFonts w:ascii="Times New Roman" w:hAnsi="Times New Roman" w:cs="Times New Roman"/>
          <w:sz w:val="28"/>
          <w:szCs w:val="28"/>
        </w:rPr>
        <w:t>В соответствии с п.48 постановления Пленума Верховного Суда Российской Федерации от 24.03.2016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статьи 395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w:t>
      </w:r>
    </w:p>
    <w:p w14:paraId="3E2708E1" w14:textId="525A7359" w:rsidR="00F872C8" w:rsidRDefault="004520A0" w:rsidP="004520A0">
      <w:pPr>
        <w:spacing w:after="0" w:line="240" w:lineRule="auto"/>
        <w:ind w:firstLine="708"/>
        <w:contextualSpacing/>
        <w:jc w:val="both"/>
        <w:rPr>
          <w:rFonts w:ascii="Times New Roman" w:hAnsi="Times New Roman" w:cs="Times New Roman"/>
          <w:sz w:val="28"/>
          <w:szCs w:val="28"/>
        </w:rPr>
      </w:pPr>
      <w:r w:rsidRPr="00334A47">
        <w:rPr>
          <w:rFonts w:ascii="Times New Roman" w:hAnsi="Times New Roman" w:cs="Times New Roman"/>
          <w:sz w:val="28"/>
          <w:szCs w:val="28"/>
        </w:rPr>
        <w:t xml:space="preserve">С учетом приведенных требований закона </w:t>
      </w:r>
      <w:r>
        <w:rPr>
          <w:rFonts w:ascii="Times New Roman" w:hAnsi="Times New Roman" w:cs="Times New Roman"/>
          <w:sz w:val="28"/>
          <w:szCs w:val="28"/>
        </w:rPr>
        <w:t>граждане, потерпевшие от преступных действий, вправе обратиться в суд с иском о</w:t>
      </w:r>
      <w:r w:rsidRPr="00334A47">
        <w:rPr>
          <w:rFonts w:ascii="Times New Roman" w:hAnsi="Times New Roman" w:cs="Times New Roman"/>
          <w:sz w:val="28"/>
          <w:szCs w:val="28"/>
        </w:rPr>
        <w:t xml:space="preserve"> </w:t>
      </w:r>
      <w:r>
        <w:rPr>
          <w:rFonts w:ascii="Times New Roman" w:hAnsi="Times New Roman" w:cs="Times New Roman"/>
          <w:sz w:val="28"/>
          <w:szCs w:val="28"/>
        </w:rPr>
        <w:t>взыскании</w:t>
      </w:r>
      <w:r w:rsidRPr="00334A47">
        <w:rPr>
          <w:rFonts w:ascii="Times New Roman" w:hAnsi="Times New Roman" w:cs="Times New Roman"/>
          <w:sz w:val="28"/>
          <w:szCs w:val="28"/>
        </w:rPr>
        <w:t xml:space="preserve"> сумм</w:t>
      </w:r>
      <w:r>
        <w:rPr>
          <w:rFonts w:ascii="Times New Roman" w:hAnsi="Times New Roman" w:cs="Times New Roman"/>
          <w:sz w:val="28"/>
          <w:szCs w:val="28"/>
        </w:rPr>
        <w:t>ы</w:t>
      </w:r>
      <w:r w:rsidRPr="00334A47">
        <w:rPr>
          <w:rFonts w:ascii="Times New Roman" w:hAnsi="Times New Roman" w:cs="Times New Roman"/>
          <w:sz w:val="28"/>
          <w:szCs w:val="28"/>
        </w:rPr>
        <w:t xml:space="preserve"> неосновательного обогащения и процент</w:t>
      </w:r>
      <w:r>
        <w:rPr>
          <w:rFonts w:ascii="Times New Roman" w:hAnsi="Times New Roman" w:cs="Times New Roman"/>
          <w:sz w:val="28"/>
          <w:szCs w:val="28"/>
        </w:rPr>
        <w:t>ов</w:t>
      </w:r>
      <w:r w:rsidRPr="00334A47">
        <w:rPr>
          <w:rFonts w:ascii="Times New Roman" w:hAnsi="Times New Roman" w:cs="Times New Roman"/>
          <w:sz w:val="28"/>
          <w:szCs w:val="28"/>
        </w:rPr>
        <w:t xml:space="preserve"> за пользование чужими денежными средствами.</w:t>
      </w:r>
      <w:bookmarkStart w:id="0" w:name="_GoBack"/>
      <w:bookmarkEnd w:id="0"/>
    </w:p>
    <w:p w14:paraId="453ADB65" w14:textId="7DFF9784" w:rsidR="004520A0" w:rsidRDefault="004520A0" w:rsidP="004520A0">
      <w:pPr>
        <w:spacing w:after="0" w:line="240" w:lineRule="exact"/>
        <w:contextualSpacing/>
        <w:jc w:val="both"/>
        <w:rPr>
          <w:rFonts w:ascii="Times New Roman" w:hAnsi="Times New Roman" w:cs="Times New Roman"/>
          <w:sz w:val="28"/>
          <w:szCs w:val="28"/>
        </w:rPr>
      </w:pPr>
    </w:p>
    <w:p w14:paraId="51649D63" w14:textId="1BF6B150" w:rsidR="004520A0" w:rsidRDefault="004520A0" w:rsidP="004520A0">
      <w:pPr>
        <w:spacing w:after="0" w:line="240" w:lineRule="exact"/>
        <w:contextualSpacing/>
        <w:jc w:val="both"/>
        <w:rPr>
          <w:rFonts w:ascii="Times New Roman" w:hAnsi="Times New Roman" w:cs="Times New Roman"/>
          <w:sz w:val="28"/>
          <w:szCs w:val="28"/>
        </w:rPr>
      </w:pPr>
    </w:p>
    <w:p w14:paraId="61FD1570" w14:textId="61A24EBF" w:rsidR="004520A0" w:rsidRDefault="004520A0" w:rsidP="004520A0">
      <w:pPr>
        <w:spacing w:after="0" w:line="240" w:lineRule="exact"/>
        <w:contextualSpacing/>
        <w:jc w:val="both"/>
        <w:rPr>
          <w:rFonts w:ascii="Times New Roman" w:hAnsi="Times New Roman" w:cs="Times New Roman"/>
          <w:sz w:val="28"/>
          <w:szCs w:val="28"/>
        </w:rPr>
      </w:pPr>
      <w:r>
        <w:rPr>
          <w:rFonts w:ascii="Times New Roman" w:hAnsi="Times New Roman" w:cs="Times New Roman"/>
          <w:sz w:val="28"/>
          <w:szCs w:val="28"/>
        </w:rPr>
        <w:t>Заместитель прокурора района</w:t>
      </w:r>
    </w:p>
    <w:p w14:paraId="2AB3DDEA" w14:textId="51551C65" w:rsidR="004520A0" w:rsidRDefault="004520A0" w:rsidP="004520A0">
      <w:pPr>
        <w:spacing w:after="0" w:line="240" w:lineRule="exact"/>
        <w:contextualSpacing/>
        <w:jc w:val="both"/>
        <w:rPr>
          <w:rFonts w:ascii="Times New Roman" w:hAnsi="Times New Roman" w:cs="Times New Roman"/>
          <w:sz w:val="28"/>
          <w:szCs w:val="28"/>
        </w:rPr>
      </w:pPr>
    </w:p>
    <w:p w14:paraId="492F25FC" w14:textId="19253D7E" w:rsidR="004520A0" w:rsidRPr="004520A0" w:rsidRDefault="004520A0" w:rsidP="004520A0">
      <w:pPr>
        <w:spacing w:after="0" w:line="240" w:lineRule="exact"/>
        <w:contextualSpacing/>
        <w:jc w:val="both"/>
        <w:rPr>
          <w:rFonts w:ascii="Times New Roman" w:hAnsi="Times New Roman" w:cs="Times New Roman"/>
          <w:sz w:val="28"/>
          <w:szCs w:val="28"/>
        </w:rPr>
      </w:pPr>
      <w:r>
        <w:rPr>
          <w:rFonts w:ascii="Times New Roman" w:hAnsi="Times New Roman" w:cs="Times New Roman"/>
          <w:sz w:val="28"/>
          <w:szCs w:val="28"/>
        </w:rPr>
        <w:t>советник юстиции                                                                          Е.В. Бондарева</w:t>
      </w:r>
    </w:p>
    <w:sectPr w:rsidR="004520A0" w:rsidRPr="004520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2E"/>
    <w:rsid w:val="000135F7"/>
    <w:rsid w:val="003D3EC8"/>
    <w:rsid w:val="004520A0"/>
    <w:rsid w:val="00801733"/>
    <w:rsid w:val="008B7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DE81"/>
  <w15:chartTrackingRefBased/>
  <w15:docId w15:val="{E533488F-3C3B-47DD-B3C5-CEBFC7B4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E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3EC8"/>
    <w:rPr>
      <w:b/>
      <w:bCs/>
    </w:rPr>
  </w:style>
  <w:style w:type="character" w:styleId="a4">
    <w:name w:val="Hyperlink"/>
    <w:basedOn w:val="a0"/>
    <w:uiPriority w:val="99"/>
    <w:semiHidden/>
    <w:unhideWhenUsed/>
    <w:rsid w:val="003D3EC8"/>
    <w:rPr>
      <w:color w:val="0000FF"/>
      <w:u w:val="single"/>
    </w:rPr>
  </w:style>
  <w:style w:type="paragraph" w:customStyle="1" w:styleId="p3">
    <w:name w:val="p3"/>
    <w:basedOn w:val="a"/>
    <w:rsid w:val="003D3E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zprombank.ru/personal/car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Бондарева Елена Валерьевна</dc:creator>
  <cp:keywords/>
  <dc:description/>
  <cp:lastModifiedBy>Бондарева Елена Валерьевна</cp:lastModifiedBy>
  <cp:revision>2</cp:revision>
  <dcterms:created xsi:type="dcterms:W3CDTF">2025-06-23T02:59:00Z</dcterms:created>
  <dcterms:modified xsi:type="dcterms:W3CDTF">2025-06-23T03:39:00Z</dcterms:modified>
</cp:coreProperties>
</file>