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C" w:rsidRDefault="000602CC" w:rsidP="000602CC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0602CC" w:rsidRDefault="000602CC" w:rsidP="000602CC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ДИВИНСКОГО СЕЛЬСОВЕТА</w:t>
      </w:r>
    </w:p>
    <w:p w:rsidR="000602CC" w:rsidRDefault="000602CC" w:rsidP="000602CC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0602CC" w:rsidRDefault="000602CC" w:rsidP="000602CC">
      <w:pPr>
        <w:jc w:val="center"/>
        <w:rPr>
          <w:b/>
          <w:bCs/>
          <w:snapToGrid w:val="0"/>
          <w:sz w:val="28"/>
          <w:szCs w:val="28"/>
        </w:rPr>
      </w:pPr>
    </w:p>
    <w:p w:rsidR="000602CC" w:rsidRDefault="000602CC" w:rsidP="000602CC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 № 88</w:t>
      </w:r>
    </w:p>
    <w:p w:rsidR="000602CC" w:rsidRDefault="000602CC" w:rsidP="000602C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0602CC" w:rsidRDefault="000602CC" w:rsidP="00060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.12.2014г.                                                                              </w:t>
      </w:r>
    </w:p>
    <w:p w:rsidR="000602CC" w:rsidRDefault="000602CC" w:rsidP="000602CC">
      <w:pPr>
        <w:jc w:val="center"/>
        <w:rPr>
          <w:b/>
        </w:rPr>
      </w:pPr>
    </w:p>
    <w:p w:rsidR="000602CC" w:rsidRDefault="000602CC" w:rsidP="000602C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ab/>
        <w:t>программы «Энергосбережение и повышение   энергетической   эффективности на территории</w:t>
      </w:r>
    </w:p>
    <w:p w:rsidR="000602CC" w:rsidRDefault="000602CC" w:rsidP="000602C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Дивинского сельсовета Болотнинского района Новосибирской области  на 2014- 2016 годы</w:t>
      </w: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23.11.2009 года №261-ФЗ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Указа Президента РФ от 04.06.2008 года №889 «О некоторых мерах по повышению энергетической и экологической эффективности российской экономики», Постановлением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руководствуясь Уставом Дивинского сельсовета, </w:t>
      </w: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602CC" w:rsidRDefault="000602CC" w:rsidP="000602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муниципальную программу «Энергосбережение и повышение энергетической эффективности на территории Дивинского сельсовета Болотнинского района Новосибирской области  на 2014-2016 годы» согласно приложению (далее Программа).</w:t>
      </w:r>
    </w:p>
    <w:p w:rsidR="000602CC" w:rsidRDefault="000602CC" w:rsidP="000602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мероприятия, предусмотренных Программой, осуществлять за счет средств  собственников жилья, федерального, областного, районного и местного бюджета с учетом объемов и мероприятий,  предусмотренных муниципальной программой.</w:t>
      </w:r>
    </w:p>
    <w:p w:rsidR="000602CC" w:rsidRDefault="000602CC" w:rsidP="000602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опубликовать в официальном вестнике  Дивинского сельсовета и </w:t>
      </w:r>
      <w:r>
        <w:rPr>
          <w:sz w:val="28"/>
          <w:szCs w:val="28"/>
        </w:rPr>
        <w:t xml:space="preserve">разместить на официальном сайте администрации </w:t>
      </w:r>
      <w:r>
        <w:rPr>
          <w:bCs/>
          <w:sz w:val="28"/>
          <w:szCs w:val="28"/>
        </w:rPr>
        <w:t>Дивинского сельсовета</w:t>
      </w:r>
      <w:r>
        <w:rPr>
          <w:sz w:val="28"/>
          <w:szCs w:val="28"/>
        </w:rPr>
        <w:t xml:space="preserve">. </w:t>
      </w:r>
    </w:p>
    <w:p w:rsidR="000602CC" w:rsidRDefault="000602CC" w:rsidP="000602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дня его официального опубликования.</w:t>
      </w:r>
    </w:p>
    <w:p w:rsidR="000602CC" w:rsidRDefault="000602CC" w:rsidP="000602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 исполнением постановления оставляю за собой.</w:t>
      </w:r>
    </w:p>
    <w:p w:rsidR="000602CC" w:rsidRDefault="000602CC" w:rsidP="000602CC">
      <w:p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</w:p>
    <w:p w:rsidR="000602CC" w:rsidRDefault="000602CC" w:rsidP="000602CC">
      <w:pPr>
        <w:pStyle w:val="a3"/>
        <w:jc w:val="right"/>
        <w:rPr>
          <w:b/>
          <w:bCs/>
          <w:color w:val="000000"/>
          <w:sz w:val="28"/>
          <w:szCs w:val="28"/>
        </w:rPr>
      </w:pPr>
    </w:p>
    <w:p w:rsidR="000602CC" w:rsidRDefault="000602CC" w:rsidP="000602CC">
      <w:pPr>
        <w:rPr>
          <w:sz w:val="28"/>
          <w:szCs w:val="28"/>
        </w:rPr>
      </w:pPr>
      <w:r>
        <w:rPr>
          <w:sz w:val="28"/>
          <w:szCs w:val="28"/>
        </w:rPr>
        <w:t>Глава Дивинского сельсовета                              Е.А.Литвинова</w:t>
      </w: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jc w:val="both"/>
        <w:rPr>
          <w:sz w:val="28"/>
          <w:szCs w:val="28"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>
      <w:pPr>
        <w:rPr>
          <w:b/>
        </w:rPr>
      </w:pPr>
    </w:p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tbl>
      <w:tblPr>
        <w:tblW w:w="9648" w:type="dxa"/>
        <w:tblLook w:val="01E0"/>
      </w:tblPr>
      <w:tblGrid>
        <w:gridCol w:w="3528"/>
        <w:gridCol w:w="6120"/>
      </w:tblGrid>
      <w:tr w:rsidR="000602CC" w:rsidTr="000602CC">
        <w:tc>
          <w:tcPr>
            <w:tcW w:w="3528" w:type="dxa"/>
          </w:tcPr>
          <w:p w:rsidR="000602CC" w:rsidRDefault="000602CC">
            <w:pPr>
              <w:spacing w:line="276" w:lineRule="auto"/>
              <w:jc w:val="right"/>
              <w:rPr>
                <w:color w:val="800000"/>
              </w:rPr>
            </w:pPr>
          </w:p>
        </w:tc>
        <w:tc>
          <w:tcPr>
            <w:tcW w:w="6120" w:type="dxa"/>
          </w:tcPr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УТВЕРЖДЕНА</w:t>
            </w:r>
            <w:r>
              <w:rPr>
                <w:b/>
                <w:color w:val="000000"/>
              </w:rPr>
              <w:br/>
              <w:t>постановлением администрации</w:t>
            </w:r>
          </w:p>
          <w:p w:rsidR="000602CC" w:rsidRDefault="000602C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Дивинского сельсовета </w:t>
            </w:r>
          </w:p>
          <w:p w:rsidR="000602CC" w:rsidRDefault="000602CC">
            <w:pPr>
              <w:spacing w:line="276" w:lineRule="auto"/>
              <w:jc w:val="right"/>
              <w:rPr>
                <w:b/>
                <w:color w:val="800000"/>
              </w:rPr>
            </w:pPr>
            <w:r>
              <w:rPr>
                <w:b/>
                <w:color w:val="000000"/>
              </w:rPr>
              <w:t xml:space="preserve">от 26.12.2014 года №88    </w:t>
            </w:r>
          </w:p>
          <w:p w:rsidR="000602CC" w:rsidRDefault="000602CC">
            <w:pPr>
              <w:spacing w:line="276" w:lineRule="auto"/>
              <w:jc w:val="right"/>
              <w:rPr>
                <w:color w:val="800000"/>
              </w:rPr>
            </w:pPr>
          </w:p>
        </w:tc>
      </w:tr>
    </w:tbl>
    <w:p w:rsidR="000602CC" w:rsidRDefault="000602CC" w:rsidP="000602CC">
      <w:pPr>
        <w:jc w:val="right"/>
      </w:pPr>
    </w:p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p w:rsidR="000602CC" w:rsidRDefault="000602CC" w:rsidP="000602CC"/>
    <w:tbl>
      <w:tblPr>
        <w:tblW w:w="3528" w:type="dxa"/>
        <w:tblLook w:val="01E0"/>
      </w:tblPr>
      <w:tblGrid>
        <w:gridCol w:w="3528"/>
      </w:tblGrid>
      <w:tr w:rsidR="000602CC" w:rsidTr="000602CC">
        <w:tc>
          <w:tcPr>
            <w:tcW w:w="3528" w:type="dxa"/>
            <w:hideMark/>
          </w:tcPr>
          <w:p w:rsidR="000602CC" w:rsidRDefault="000602CC">
            <w:pPr>
              <w:spacing w:line="276" w:lineRule="auto"/>
              <w:jc w:val="right"/>
              <w:rPr>
                <w:color w:val="800000"/>
              </w:rPr>
            </w:pPr>
            <w:r>
              <w:rPr>
                <w:color w:val="800000"/>
              </w:rPr>
              <w:t>\</w:t>
            </w:r>
          </w:p>
        </w:tc>
      </w:tr>
    </w:tbl>
    <w:p w:rsidR="000602CC" w:rsidRDefault="000602CC" w:rsidP="0006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br/>
      </w:r>
    </w:p>
    <w:p w:rsidR="000602CC" w:rsidRDefault="000602CC" w:rsidP="0006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И ПОВЫШЕНИЕ ЭНЕРГЕТИЧЕСКОЙ ЭФФЕКТИВНОСТИ НА ТЕРРИТОРИИ ДИВИНСКОГО СЕЛЬСОВЕТА БОЛОТНИНСКОГО РАЙОНА НОВОСИБИРСКОЙ ОБЛАСТИ НА 2014-2016 ГОДЫ»</w:t>
      </w: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color w:val="800000"/>
          <w:sz w:val="32"/>
        </w:rPr>
      </w:pPr>
    </w:p>
    <w:p w:rsidR="000602CC" w:rsidRDefault="000602CC" w:rsidP="000602CC">
      <w:pPr>
        <w:jc w:val="center"/>
        <w:rPr>
          <w:b/>
          <w:sz w:val="28"/>
          <w:szCs w:val="28"/>
        </w:rPr>
      </w:pPr>
    </w:p>
    <w:p w:rsidR="000602CC" w:rsidRDefault="000602CC" w:rsidP="000602CC">
      <w:pPr>
        <w:jc w:val="center"/>
        <w:rPr>
          <w:b/>
          <w:sz w:val="28"/>
          <w:szCs w:val="28"/>
        </w:rPr>
      </w:pPr>
    </w:p>
    <w:p w:rsidR="000602CC" w:rsidRDefault="000602CC" w:rsidP="000602CC">
      <w:pPr>
        <w:jc w:val="center"/>
        <w:rPr>
          <w:b/>
          <w:sz w:val="28"/>
          <w:szCs w:val="28"/>
        </w:rPr>
      </w:pPr>
    </w:p>
    <w:p w:rsidR="000602CC" w:rsidRDefault="000602CC" w:rsidP="0006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п.Дивинка</w:t>
      </w:r>
    </w:p>
    <w:p w:rsidR="000602CC" w:rsidRDefault="000602CC" w:rsidP="000602CC">
      <w:pPr>
        <w:suppressAutoHyphens w:val="0"/>
        <w:rPr>
          <w:b/>
          <w:color w:val="800000"/>
          <w:sz w:val="32"/>
        </w:rPr>
        <w:sectPr w:rsidR="000602CC">
          <w:pgSz w:w="11907" w:h="16840"/>
          <w:pgMar w:top="1134" w:right="851" w:bottom="1134" w:left="1701" w:header="720" w:footer="720" w:gutter="0"/>
          <w:cols w:space="720"/>
        </w:sectPr>
      </w:pPr>
    </w:p>
    <w:p w:rsidR="000602CC" w:rsidRDefault="000602CC" w:rsidP="000602C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6375"/>
      </w:tblGrid>
      <w:tr w:rsidR="000602CC" w:rsidTr="000602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ind w:left="51" w:firstLine="38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«Энергосбережение и повышение энергетической эффективности на территории МО Дивинского сельсовета на 2014-2016 годы» (далее – Программа)</w:t>
            </w:r>
          </w:p>
        </w:tc>
      </w:tr>
      <w:tr w:rsidR="000602CC" w:rsidTr="000602CC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 w:rsidP="00B61C88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0602CC" w:rsidRDefault="000602CC" w:rsidP="00B61C88">
            <w:pPr>
              <w:numPr>
                <w:ilvl w:val="0"/>
                <w:numId w:val="2"/>
              </w:numPr>
              <w:suppressAutoHyphens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0602CC" w:rsidRDefault="000602CC" w:rsidP="00B61C88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РФ от 04.06.2008 № 889 «О некоторых мерах по повышению энергетической и экологической эффективности российской 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602CC" w:rsidRDefault="000602CC" w:rsidP="00B61C88">
            <w:pPr>
              <w:numPr>
                <w:ilvl w:val="0"/>
                <w:numId w:val="2"/>
              </w:numPr>
              <w:suppressAutoHyphens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0602CC" w:rsidTr="000602CC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Дивинского сельсовета Болотнинского района Новосибирской области</w:t>
            </w:r>
          </w:p>
        </w:tc>
      </w:tr>
      <w:tr w:rsidR="000602CC" w:rsidTr="000602CC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Исполнители </w:t>
            </w:r>
          </w:p>
          <w:p w:rsidR="000602CC" w:rsidRDefault="000602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Дивинского сельсовета Болотнинского района Новосибирской области</w:t>
            </w:r>
          </w:p>
        </w:tc>
      </w:tr>
      <w:tr w:rsidR="000602CC" w:rsidTr="000602CC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Администрация муниципального образования Дивинского сельсовета Болотнинского района Новосибирской области</w:t>
            </w:r>
          </w:p>
        </w:tc>
      </w:tr>
      <w:tr w:rsidR="000602CC" w:rsidTr="000602CC">
        <w:trPr>
          <w:trHeight w:val="8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02CC" w:rsidRDefault="000602CC">
            <w:pPr>
              <w:spacing w:line="228" w:lineRule="auto"/>
              <w:ind w:left="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Цели Программы:</w:t>
            </w:r>
          </w:p>
          <w:p w:rsidR="000602CC" w:rsidRDefault="000602CC">
            <w:pPr>
              <w:spacing w:line="228" w:lineRule="auto"/>
              <w:ind w:left="51"/>
              <w:jc w:val="both"/>
              <w:rPr>
                <w:sz w:val="28"/>
              </w:rPr>
            </w:pPr>
            <w:r>
              <w:rPr>
                <w:sz w:val="28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Дивинского сельсовета,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0602CC" w:rsidRDefault="000602CC">
            <w:pPr>
              <w:spacing w:line="228" w:lineRule="auto"/>
              <w:ind w:left="51" w:firstLine="38"/>
              <w:jc w:val="both"/>
              <w:rPr>
                <w:i/>
                <w:sz w:val="28"/>
              </w:rPr>
            </w:pPr>
          </w:p>
        </w:tc>
      </w:tr>
      <w:tr w:rsidR="000602CC" w:rsidTr="000602CC">
        <w:trPr>
          <w:trHeight w:val="26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CC" w:rsidRDefault="000602CC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02CC" w:rsidRDefault="000602CC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Программы: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энергетических обследований;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учета всего объема потребляемых энергетических ресурсов;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Снижение, по сравнению с 2013 г., удельных расходов электрической энергии на наружное освещение МО </w:t>
            </w:r>
            <w:r>
              <w:rPr>
                <w:sz w:val="28"/>
              </w:rPr>
              <w:t xml:space="preserve">Дивинского сельсовета </w:t>
            </w:r>
            <w:r>
              <w:rPr>
                <w:sz w:val="28"/>
                <w:szCs w:val="28"/>
              </w:rPr>
              <w:t>на 40%;</w:t>
            </w:r>
          </w:p>
          <w:p w:rsidR="000602CC" w:rsidRDefault="000602CC">
            <w:pPr>
              <w:suppressAutoHyphens w:val="0"/>
              <w:spacing w:line="276" w:lineRule="auto"/>
              <w:ind w:left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компетентности работников администрации МО</w:t>
            </w:r>
            <w:r>
              <w:rPr>
                <w:sz w:val="28"/>
              </w:rPr>
              <w:t xml:space="preserve"> Дивинского сельсовета</w:t>
            </w:r>
            <w:r>
              <w:rPr>
                <w:sz w:val="28"/>
                <w:szCs w:val="28"/>
              </w:rPr>
              <w:t xml:space="preserve"> и ответственных за энергосбережение сотрудников муниципальных учреждений в вопросах эффективного использования энергетических ресурсов; </w:t>
            </w:r>
          </w:p>
          <w:p w:rsidR="000602CC" w:rsidRDefault="000602CC">
            <w:pPr>
              <w:tabs>
                <w:tab w:val="num" w:pos="540"/>
              </w:tabs>
              <w:spacing w:line="228" w:lineRule="auto"/>
              <w:ind w:left="51" w:firstLine="38"/>
              <w:jc w:val="both"/>
              <w:rPr>
                <w:sz w:val="28"/>
              </w:rPr>
            </w:pPr>
          </w:p>
        </w:tc>
      </w:tr>
    </w:tbl>
    <w:p w:rsidR="000602CC" w:rsidRDefault="000602CC" w:rsidP="000602CC">
      <w:r>
        <w:br w:type="page"/>
      </w:r>
    </w:p>
    <w:tbl>
      <w:tblPr>
        <w:tblW w:w="96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25"/>
        <w:gridCol w:w="6375"/>
      </w:tblGrid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объемов тепловой энергии, расчеты за которую осуществляются с использованием приборов учета;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объектов жилищного фонда, имеющих акты энергетических обследований и энергетические паспорта;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установленных светильников ДНАТ в системе наружного освещения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светильников ДНАТ в системе наружного освещения в общем количестве светильников;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потребления электроэнергии системой наружного освещения;</w:t>
            </w:r>
          </w:p>
          <w:p w:rsidR="000602CC" w:rsidRDefault="000602CC">
            <w:pPr>
              <w:suppressAutoHyphens w:val="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</w:t>
            </w:r>
          </w:p>
        </w:tc>
      </w:tr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CC" w:rsidRDefault="000602CC">
            <w:pPr>
              <w:spacing w:line="276" w:lineRule="auto"/>
              <w:jc w:val="both"/>
              <w:rPr>
                <w:sz w:val="28"/>
              </w:rPr>
            </w:pPr>
          </w:p>
          <w:p w:rsidR="000602CC" w:rsidRDefault="000602C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2014-2016 годы</w:t>
            </w:r>
          </w:p>
          <w:p w:rsidR="000602CC" w:rsidRDefault="000602CC">
            <w:pPr>
              <w:spacing w:line="276" w:lineRule="auto"/>
              <w:jc w:val="both"/>
              <w:rPr>
                <w:sz w:val="28"/>
              </w:rPr>
            </w:pPr>
          </w:p>
          <w:p w:rsidR="000602CC" w:rsidRDefault="000602CC">
            <w:pPr>
              <w:suppressAutoHyphens w:val="0"/>
              <w:spacing w:line="276" w:lineRule="auto"/>
              <w:ind w:left="720"/>
              <w:jc w:val="both"/>
            </w:pPr>
          </w:p>
        </w:tc>
      </w:tr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CC" w:rsidRDefault="000602CC" w:rsidP="00B61C88">
            <w:pPr>
              <w:numPr>
                <w:ilvl w:val="0"/>
                <w:numId w:val="3"/>
              </w:num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Энергосбережение и повышение энергетической эффективности в жилищной сфере</w:t>
            </w:r>
          </w:p>
          <w:p w:rsidR="000602CC" w:rsidRDefault="000602CC" w:rsidP="00B61C88">
            <w:pPr>
              <w:numPr>
                <w:ilvl w:val="0"/>
                <w:numId w:val="3"/>
              </w:num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Энергосбережение и повышение энергетической эффективности в системах наружного освещения</w:t>
            </w:r>
          </w:p>
          <w:p w:rsidR="000602CC" w:rsidRDefault="000602CC" w:rsidP="00B61C88">
            <w:pPr>
              <w:numPr>
                <w:ilvl w:val="0"/>
                <w:numId w:val="3"/>
              </w:numPr>
              <w:suppressAutoHyphens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Энергосбережение и повышение энергетической эффективности в бюджетной сфере</w:t>
            </w:r>
          </w:p>
          <w:p w:rsidR="000602CC" w:rsidRDefault="000602CC" w:rsidP="00B61C88">
            <w:pPr>
              <w:numPr>
                <w:ilvl w:val="0"/>
                <w:numId w:val="3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в коммунальном хозяйстве</w:t>
            </w:r>
          </w:p>
          <w:p w:rsidR="000602CC" w:rsidRDefault="000602CC">
            <w:pPr>
              <w:spacing w:line="276" w:lineRule="auto"/>
              <w:jc w:val="both"/>
            </w:pPr>
          </w:p>
        </w:tc>
      </w:tr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Объемы и источники финансирования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pStyle w:val="ConsPlusNormal"/>
              <w:spacing w:line="276" w:lineRule="auto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Финансирование Программы осуществляется за счет средств бюджета Дивинского сельсовета (далее – местный бюджет)</w:t>
            </w:r>
          </w:p>
        </w:tc>
      </w:tr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Ожидаемые конечные результаты реализации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Сокращение расходов тепловой и электрической энергии в муниципальных учреждениях;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- Экономия потребления воды в муниципальных </w:t>
            </w:r>
            <w:r>
              <w:rPr>
                <w:sz w:val="28"/>
              </w:rPr>
              <w:lastRenderedPageBreak/>
              <w:t>учреждениях;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Экономия электрической энергии в системах наружного освещения;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Наличие в органах местного самоуправления, муниципальных учреждениях, муниципальных унитарных предприятиях актов энергетических обследований и  энергетических паспортов на уровне 100 процентов от общего количества учреждений;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- Сокращение удельных показателей энергопотребления экономики муниципального образования на 15 процентов по сравнению с 2013 годом; 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Повышение заинтересованности в энергосбережении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</w:tc>
      </w:tr>
      <w:tr w:rsidR="000602CC" w:rsidTr="000602CC">
        <w:trPr>
          <w:trHeight w:val="4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Перечень основных мероприятий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Обеспечение учета всего объема потребляемых энергетических ресурсов;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     - Проведение энергетических обследований бюджетных учреждений и жилых зданий;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  <w:r>
              <w:rPr>
                <w:sz w:val="28"/>
              </w:rPr>
              <w:t>- внедрение энергоэффективных светильников в системе наружного освещения.</w:t>
            </w: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rPr>
                <w:sz w:val="28"/>
              </w:rPr>
            </w:pPr>
          </w:p>
        </w:tc>
      </w:tr>
      <w:tr w:rsidR="000602CC" w:rsidTr="000602CC">
        <w:trPr>
          <w:trHeight w:val="48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Дивинского сельсовета осуществляет контроль за реализацией Программы</w:t>
            </w:r>
          </w:p>
        </w:tc>
      </w:tr>
    </w:tbl>
    <w:p w:rsidR="000602CC" w:rsidRDefault="000602CC" w:rsidP="000602CC"/>
    <w:p w:rsidR="000602CC" w:rsidRDefault="000602CC" w:rsidP="000602CC">
      <w:pPr>
        <w:jc w:val="center"/>
      </w:pPr>
    </w:p>
    <w:p w:rsidR="000602CC" w:rsidRDefault="000602CC" w:rsidP="000602CC">
      <w:pPr>
        <w:suppressAutoHyphens w:val="0"/>
        <w:rPr>
          <w:sz w:val="28"/>
          <w:szCs w:val="28"/>
        </w:rPr>
        <w:sectPr w:rsidR="000602CC">
          <w:pgSz w:w="11907" w:h="16840"/>
          <w:pgMar w:top="1134" w:right="851" w:bottom="1134" w:left="1701" w:header="720" w:footer="720" w:gutter="0"/>
          <w:cols w:space="720"/>
        </w:sectPr>
      </w:pPr>
    </w:p>
    <w:p w:rsidR="000602CC" w:rsidRDefault="000602CC" w:rsidP="000602CC">
      <w:pPr>
        <w:ind w:firstLine="708"/>
        <w:jc w:val="both"/>
        <w:rPr>
          <w:sz w:val="28"/>
          <w:szCs w:val="28"/>
        </w:rPr>
      </w:pPr>
    </w:p>
    <w:p w:rsidR="000602CC" w:rsidRDefault="000602CC" w:rsidP="000602C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реализации муниципальной целевой программы «Энергосбережение и повышение энергетической эффективности на территории Дивинского сельсовета Болотнинского района Новосибирской области  на 2014- 2016 годы»</w:t>
      </w:r>
    </w:p>
    <w:p w:rsidR="000602CC" w:rsidRDefault="000602CC" w:rsidP="000602C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242"/>
        <w:gridCol w:w="5138"/>
        <w:gridCol w:w="3191"/>
      </w:tblGrid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№ 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 xml:space="preserve">Мероприятия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Срок реализации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Организация работ по оснащению жилых домов приборами учета воды, электрической энергии, проведение разъяснительной работы с гражданами по переходу на расчет по показаниям приборов учета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2014-2016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Закупка для муниципальных нужд энергосберегающих ламп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2014-2016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Установка энергосберегающих ламп на улицах  Дивинского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2014-2016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Замена ламп накаливания в зданиях МУПа на энергосберегающие лампы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2015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Проведение энергетических обследований, составление энергетических паспортов в муниципальных учреждениях Дивинского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2015-2016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Оснащение приборами учета коммунальных ресурсов муниципальных учреждений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2015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Промывка систем центрального отопления, мероприятия по регулировке систем отопления и холодного водоснабжения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2014-2016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>Замена наиболее изношенных участков объектов коммунальной инфраструктуры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2014-2016</w:t>
            </w:r>
          </w:p>
        </w:tc>
      </w:tr>
      <w:tr w:rsidR="000602CC" w:rsidTr="00060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r>
              <w:t xml:space="preserve">Реконструкция водопровода в п.Диинка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CC" w:rsidRDefault="000602CC">
            <w:pPr>
              <w:jc w:val="center"/>
            </w:pPr>
            <w:r>
              <w:t>2015-2017</w:t>
            </w:r>
          </w:p>
        </w:tc>
      </w:tr>
    </w:tbl>
    <w:p w:rsidR="000602CC" w:rsidRDefault="000602CC" w:rsidP="000602CC">
      <w:pPr>
        <w:jc w:val="center"/>
        <w:rPr>
          <w:sz w:val="28"/>
          <w:szCs w:val="28"/>
        </w:rPr>
      </w:pPr>
    </w:p>
    <w:p w:rsidR="000602CC" w:rsidRDefault="000602CC" w:rsidP="000602CC">
      <w:pPr>
        <w:jc w:val="center"/>
        <w:rPr>
          <w:sz w:val="28"/>
          <w:szCs w:val="28"/>
        </w:rPr>
      </w:pPr>
    </w:p>
    <w:p w:rsidR="005C18D6" w:rsidRDefault="005C18D6"/>
    <w:sectPr w:rsidR="005C18D6" w:rsidSect="005C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11F"/>
    <w:multiLevelType w:val="hybridMultilevel"/>
    <w:tmpl w:val="FFC83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602CC"/>
    <w:rsid w:val="000602CC"/>
    <w:rsid w:val="002A6141"/>
    <w:rsid w:val="005C18D6"/>
    <w:rsid w:val="00F5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602CC"/>
    <w:pPr>
      <w:ind w:left="720"/>
      <w:contextualSpacing/>
    </w:pPr>
  </w:style>
  <w:style w:type="paragraph" w:customStyle="1" w:styleId="ConsPlusCell">
    <w:name w:val="ConsPlusCell"/>
    <w:rsid w:val="00060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0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6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7878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2015-01-16T07:40:00Z</dcterms:created>
  <dcterms:modified xsi:type="dcterms:W3CDTF">2015-01-16T07:42:00Z</dcterms:modified>
</cp:coreProperties>
</file>