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D6" w:rsidRPr="00EE2FD6" w:rsidRDefault="00EE2FD6" w:rsidP="00EE2F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Раздельный сбор ТБО — шаг к экологической безопасности государства</w:t>
      </w:r>
    </w:p>
    <w:p w:rsidR="00EE2FD6" w:rsidRPr="00EE2FD6" w:rsidRDefault="00EE2FD6" w:rsidP="00EE2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E2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«Справочник эколога» №5 2013</w:t>
        </w:r>
      </w:hyperlink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hyperlink r:id="rId6" w:history="1">
        <w:r w:rsidRPr="00EE2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Обращение с отходами</w:t>
        </w:r>
      </w:hyperlink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EE2FD6">
        <w:rPr>
          <w:rFonts w:ascii="Verdana" w:eastAsia="Times New Roman" w:hAnsi="Verdana" w:cs="Arial"/>
          <w:sz w:val="21"/>
          <w:lang w:eastAsia="ru-RU"/>
        </w:rPr>
        <w:t>Поделиться…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данным, представленным в государственном докладе «О состоянии и об охране окружающей среды Российской Федерации в 2011 году»</w:t>
      </w:r>
      <w:bookmarkStart w:id="0" w:name="_ftnref1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"_ftn1"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[1]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твердых бытовых отходов (далее — ТБО) в 2011 г. составило 52,9 </w:t>
      </w:r>
      <w:proofErr w:type="spellStart"/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Средний показатель образования ТБО на душу населения — 0,4 т/чел. Организовано 14 684 новых санкционированных места размещения отходов общей площадью 4 070,158 тыс. га.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сведениям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выявлена 23 041 несанкционированная свалка ТБО, из них ликвидировано 14 155. 57 % свалок ТБО расположены на землях населенных пунктов, 16 % — на землях сельскохозяйственного назначения, 15 % — в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зонах, 8 % — на землях лесного фонда.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официальные данные пока не опубликованы, можно не сомневаться, что ситуация с образованием ТБО в 2012 г. мало чем отличается от ситуации 2011 г. И пока на всех уровнях власти решается вопрос о том, что необходимо делать с постоянно растущими объемами ТБО,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города все глубже «погружаются» в море образующихся отходов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Мусорные свалки постоянно появляются практически в каждом дворе города.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0" cy="2981325"/>
            <wp:effectExtent l="19050" t="0" r="0" b="0"/>
            <wp:docPr id="3" name="Рисунок 3" descr="https://www.profiz.ru/pictures/different/5_pi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ofiz.ru/pictures/different/5_pic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 можно увидеть типичную мусорную свалку в городском дворе. Если не пытаться ее ликвидировать, мусор в скором времени может попасть из подворотен на улицы города, как это случилось несколько лет назад в Неаполе</w:t>
      </w:r>
      <w:bookmarkStart w:id="1" w:name="_ftnref2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"_ftn2"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[2]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Живописный город превратился в зловонную помойку от разлагающегося на улицах города мусора. Власти оказались бессильны, и только помощь Европейского союза позволила освободить город от мусора. Часть его была вывезена в Германию. Однако такой подход не решает проблемы утилизации отходов ни в Италии, ни вообще в мире. Мусорный кризис в Неаполе ярко продемонстрировал жителям планеты, как может выглядеть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экологическая катастрофа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уже наступившая в отдельном регионе. Вывод напрашивается сам: медлить нельзя — в вопросе создания эффективной системы управления отходами время работает против нас.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 несколько лет в России на различных уровнях власти рассматриваются возможные пути сокращения объемов отходов, поступающих на захоронение на полигоны, и минимизации их воздействия на окружающую среду. Один из главных вопросов, на который чиновники пытаются найти ответ: строить мусоросжигательные заводы или вводить селективный сбор ТБО? Эксперты разделились на два лагеря.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Сложившаяся ситуация напоминает детскую сказку о лилипутах, которые решали, с какой стороны разбивать яйцо —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острой или с тупой. Ответ лежит на поверхности. Существует мировой многолетний опыт по обращению с отходами. Все европейские страны (в т.ч. страны бывшего СССР), США, Япония и многие другие давно уже ввели систему раздельного сбора мусора в общую систему обращения с отходами. Их опыт показал, что для того, чтобы система по обращению с отходами была эффективна, ее составными элементами должны быть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раздельный сбор мусора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переработка на вторичное сырье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Распространенные сегодня разговоры о том, что европейские страны отказываются от такой схемы управления отходами, — это, мягко говоря, искажение фактов, причем хорошо, если не умышленное!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представлены результаты анализа данных о соотношении количества муниципальных ТБО, направляемых на использование в качестве вторичных материальных ресурсов (биотермическую переработку и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рециклинг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 количеству муниципальных ТБО, направляемых на сжигание в различных европейских странах</w:t>
      </w:r>
      <w:bookmarkStart w:id="2" w:name="_ftnref3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"_ftn3"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[3]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удобства анализа данные приведены к безразмерной величине отношения масс отходов, направленных на переработку и сжигание, т.е. 1 означает, что эти массы равны;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больше 1 — что масса отходов, направленных на переработку, больше, чем масса отходов, направленных на сжигание.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видим, за 12 лет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одна страна не отказалась от переработки отходов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отходов, направляемых на переработку, практически не снизилось, а в некоторых странах (отмечено зеленым цветом) с 1999 г. это количество даже увеличилось (показатель около 1 и выше). Снижение показателя наблюдается в странах с высокоразвитыми технологиями сбора и переработки отходов. Это можно объяснить тем, что при интенсивном развитии экономики страны возрастают объемы отходов производства и потребления, а производственные мощности по переработке отходов и технологии обновляются медленнее. При совершенствовании и внедрении новых технологий кривая показателя переработки отходов, пройдя минимум, опять начнет расти. Хотя понятно, что этот процесс не бесконечен, но пока и не исчерпан.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43750" cy="5067300"/>
            <wp:effectExtent l="19050" t="0" r="0" b="0"/>
            <wp:docPr id="4" name="Рисунок 4" descr="https://www.profiz.ru/pictures/different/5_tabl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ofiz.ru/pictures/different/5_tabl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данный показатель в России не работает, потому что наиболее распространенным остается способ ликвидации отходов путем их захоронения на полигонах. Как было указано ранее, только за 2011 г. под новые полигоны и несанкционированные свалки было занято более 4 </w:t>
      </w:r>
      <w:proofErr w:type="spellStart"/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земли.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состав ТБО в России представлен на рис. 2.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43750" cy="3676650"/>
            <wp:effectExtent l="19050" t="0" r="0" b="0"/>
            <wp:docPr id="5" name="Рисунок 5" descr="https://www.profiz.ru/pictures/different/5_pic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rofiz.ru/pictures/different/5_pic_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полигонах ежегодно складируются 17,5 </w:t>
      </w:r>
      <w:proofErr w:type="spellStart"/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макулатуры, 2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черных и цветных металлов, 2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полимерных материалов, 20,5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пищевых отходов, 4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стекла и прочих полезных материалов (текстиль и др.) — 4,5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По нашему мнению, комментарии здесь излишни, т.к. цифры говорят сами за себя.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Российской Федерации действуют менее 300 предприятий по сортировке и утилизации ТБО, а уровень переработки ТБО не превышает 5–7 %. Во многих странах Европы этот показатель составляет более 60 %, и это не предел.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Египте система сбора отходов является архаичной, тем не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признается одной из самых эффективных в мире: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заббалины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(сборщики мусора) отсортировывают для последующей переработки до 85 % собранного мусора! При таком подходе, кроме экономии и возврата в сферу производства природных и энергетических ресурсов в виде вторсырья, почти в 8 раз сокращается количество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неперерабатываемых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отходов, которые можно либо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захоранивать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сжигать для получения дополнительных энергетических ресурсов. В этом случае ущерб окружающей среде от сжигания мусора будет минимальным, т.к.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сжигаться будут обезвреженные отходы, не содержащие ни тяжелых металлов, ни пластиков, ни других токсичных материалов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и мусоросжигательных заводов для сжигания такого количества отходов понадобится в 8 раз меньше, а это огромная экономия для государства! Для того чтобы это понять, достаточно провести предварительную оценку экологических эффектов и экономических выгод от прекращения практики захоронения отходов без сортировки.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кто желает получить более полную информацию по данному вопросу, рекомендуем обратиться к работам представителей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(И. Бабанин и др.), которые вот уже не первый год самоотверженно «сражаются» с бюрократическим аппаратом управленческих органов, отстаивая реализацию проектов эффективных систем обращения с отходами вместо проектов строительства мусоросжигательных заводов. В их работах предлагаются к рассмотрению аналитические материалы об опыте зарубежных стран и 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обоснования эколого-экономической эффективности реализации проектов с использованием европейского опыта в нашей стране. Все расчеты, представленные в данных работах, выполнены на высоком уровне, со знанием проблемы, и нет причин не доверять этим данным</w:t>
      </w:r>
      <w:bookmarkStart w:id="3" w:name="_ftnref4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"_ftn4"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[4]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обратимся еще раз к зарубежному опыту организации раздельного сбора мусора. В системах раздельного сбора ТБО разных стран есть общие обязательные элементы, которые делают эти системы эффективными. </w:t>
      </w:r>
    </w:p>
    <w:p w:rsidR="00EE2FD6" w:rsidRPr="00EE2FD6" w:rsidRDefault="00EE2FD6" w:rsidP="00EE2F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ОБЯЗАТЕЛЬНЫЕ ЭЛЕМЕНТЫ СИСТЕМ РАЗДЕЛЬНОГО СБОРА ТБО РАЗНЫХ СТРАН</w:t>
      </w:r>
    </w:p>
    <w:p w:rsidR="00EE2FD6" w:rsidRPr="00EE2FD6" w:rsidRDefault="00EE2FD6" w:rsidP="00EE2FD6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РАСПРЕДЕЛЕНИЕ ОТВЕТСТВЕННОСТИ ЗА СБОР, УТИЛИЗАЦИЮ И ОБЕЗВРЕЖИВАНИЕ ОТХОДОВ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обязательных элементов является распределение ответственности за сбор, утилизацию и обезвреживание отходов. Такая ответственность возложена на производителей отходов — предприятия, жителей, образовательные учреждения, торговые центры. Например, организация раздельного сбора мусора в Сан-Франциско выглядит следующим образом</w:t>
      </w:r>
      <w:bookmarkStart w:id="4" w:name="_ftnref5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"_ftn5"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[5]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Коммунальные отходы сортируются жителями и на предприятиях по трем позициям и раскладываются в цветные контейнеры.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синий контейнер складываются все виды пригодных для вторичной переработки материалов (изделия из пластмасс, стекла, бумаги, металлов); в зеленый — все виды органических отходов, пригодных для компостирования, в т.ч. садовые, пищевые отходы, бумажная упаковка с пищевыми загрязнителями и др.); в черный — все остальные отходы.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Цветовая кодировка контейнеров единая во всем городе. Стандартный объем контейнера для частных домовладений составляет 64 галлона (приблизительно 240 л), но может быть увеличен или уменьшен по желанию клиента. У многоквартирных домов и предприятий располагаются крупные контейнеры.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Отходы из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синего контейнера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на мусоросортировочный комплекс, принадлежащий компании, с которой заключается договор, откуда рассортированное вторичное сырье направляется потребителям. Органические отходы направляются на площадку для полевого компостирования. Отходы из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черного контейнера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без сортировки на полигон для захоронения. При этом плата с жителей взимается только исходя из объема и частоты вывоза черного контейнера.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Синий и зеленый контейнеры вывозятся условно бесплатно, однако взимаемые средства за вывоз черного контейнера идут и на финансирование обращения с отходами, собираемыми для переработки. С коммерческих предприятий взимается также плата за вывоз органических отходов из зеленого контейнера в размере 75 % от тарифа на вывоз черного контейнера.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Кстати.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Подобные схемы с некоторыми вариациями реализованы в Германии, Финляндии и других странах: цветные контейнеры для разных отходов, обязательность раздельного сбора для всех производителей отходов и экономические стимулы (снижение количества смешанных отходов → снижение платы за вывоз и обезвреживание).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Чехия — страна бывшего социалистического лагеря, это не помешало ей за последнее десятилетие увеличить количество перерабатываемых отходов более чем в 10 раз (см. таблицу выше). При сборе мусора в стране используются не только контейнеры для стекла (зеленый), пластика (желтый) и бумаги (синий) (рис. 3). Обращает 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себя внимание большой светло-зеленый контейнер, надпись на котором гласит: «</w:t>
      </w:r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Кладите только чистый текстиль в полиэтиленовых пакетах и спаренную обувь. Спасибо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(рис. 4). Таким образом, помимо экологического и экономического, здесь присутствует и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использования вторсырья.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0" cy="2990850"/>
            <wp:effectExtent l="19050" t="0" r="0" b="0"/>
            <wp:docPr id="6" name="Рисунок 6" descr="https://www.profiz.ru/pictures/different/5_pic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ofiz.ru/pictures/different/5_pic_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4752975"/>
            <wp:effectExtent l="19050" t="0" r="9525" b="0"/>
            <wp:docPr id="7" name="Рисунок 7" descr="https://www.profiz.ru/pictures/different/5_pic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fiz.ru/pictures/different/5_pic_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интересен в этом смысле опыт включения малообеспеченных людей в процесс санитарной очистки города Сан-Франциско. Все уличные урны имеют отдельный лоток, куда можно сложить пустую банку или бутылку. Все желающие собирают их и сдают в пункты приема, получая установленную залоговую стоимость. При этом систематического сбора тары из лотков просто не существует — все делают неорганизованные сборщики, превращаясь тем самым из маргиналов во «внештатных сотрудников» муниципалитетов.</w:t>
      </w:r>
    </w:p>
    <w:p w:rsidR="00EE2FD6" w:rsidRPr="00EE2FD6" w:rsidRDefault="00EE2FD6" w:rsidP="00EE2FD6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СИСТЕМА ЗАЛОГОВОЙ СТОИМОСТИ УПАКОВКИ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обязательным элементом систем раздельного сбора ТБО является система залоговой стоимости упаковки. Это значит, что, покупая продукт, покупатель платит не только за товар, но и за упаковку (обычно это банки и бутылки из-под различных напитков). Сумма эта фиксированная, и покупатель может получить ее обратно, вернув использованную тару в магазин. О системе залоговой стоимости тары в России пока, к сожалению, говорить не приходится (соответствующий закон никак не могут принять в Государственной Думе уже 10 лет), но организовать прием различных видов отходов российским торговым сетям вполне по силам.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Кстати.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России разработал проект «Зеленый супермаркет», при реализации которого магазины не просто должны сократить количество раздаваемой упаковки, но и организовать ее прием у покупателей. Более подробную информацию о данном проекта можно найти на сайте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России </w:t>
      </w:r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http://www.greenpeace.org/russia/ru/campaigns/waste/greensupermarket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. </w:t>
      </w:r>
    </w:p>
    <w:p w:rsidR="00EE2FD6" w:rsidRPr="00EE2FD6" w:rsidRDefault="00EE2FD6" w:rsidP="00EE2FD6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РАБОТА С НАСЕЛЕНИЕМ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Пропаганде раздельного сбора мусора во всех странах уделяется большое внимание: повсюду распространяются буклеты и агитационные материалы; в торговых центрах, гостиницах, кафе, музеях, школах установлены контейнеры для раздельного сбора мусора. 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России, как было сказано ранее, в хозяйственный оборот вовлекается только около 5–7 %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собираемых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ТБО. Остальной их объем направляется на захоронение.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Министерстве природных ресурсов и экологии Российской Федерации (далее — Минприроды России) подготовлен проект документа «Комплексная стратегия обращения с твердыми коммунальными (бытовыми) отходами в Российской Федерации»</w:t>
      </w:r>
      <w:bookmarkStart w:id="5" w:name="_ftnref6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"_ftn6"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[6]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данном проекте низкий процент использования (утилизации) ТБО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связывается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недостаточным развитием инфраструктуры: в настоящее время в России функционируют 243 комплекса по использованию (утилизации) отходов, 53 комплекса по сортировке отходов, около 40 мусоросжигательных заводов. При этом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сбора и анализа статистической информации о ТБО охватывает не все источники их образования, отсутствуют средства объективного учета количества образующихся ТБО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Физические лица — собственники (наниматели) жилых помещений, в результате жизнедеятельности которых образуются ТБО, не несут ответственности за их конечное удаление экологически безопасным способом. Суммируя вышеназванные причины, вывод можно сделать один: регулирование данного вопроса на федеральном уровне неэффективно. И пока не будут приняты значимые решения в данной области, изменить ситуацию будет очень трудно!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Справедливости ради следует сказать, что во многих городах России и на уровне субъектов Российской Федерации уже были предприняты попытки организации системы раздельного сбора мусора в автономном режиме. В Москве, Санкт-Петербурге, Владивостоке, Тюмени, Новосибирске и ряде других городов проведен эксперимент по раздельному сбору коммунального мусора. Выводы, сделанные в ходе этих экспериментов, весьма противоречивы.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городах проекты, стартовавшие несколько лет назад, оказались успешными. В Солнечногорске и Волгограде установлены специальные сетки-контейнеры для сбора пластиковых бутылок, которые отправляются на переработку</w:t>
      </w:r>
      <w:bookmarkStart w:id="6" w:name="_ftnref7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"_ftn7"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[7]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Копейске в Челябинской области при поддержке городских властей организован раздельный сбор мусора</w:t>
      </w:r>
      <w:bookmarkStart w:id="7" w:name="_ftnref8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"_ftn8"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[8]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инициативе администрации успешно внедряется раздельный сбор мусора и во Владивостоке</w:t>
      </w:r>
      <w:bookmarkStart w:id="8" w:name="_ftnref9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"_ftn9"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Calibri" w:eastAsia="Times New Roman" w:hAnsi="Calibri" w:cs="Times New Roman"/>
          <w:color w:val="0000FF"/>
          <w:u w:val="single"/>
          <w:lang w:eastAsia="ru-RU"/>
        </w:rPr>
        <w:t>[9]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в Санкт-Петербурге попытки ввести раздельный сбор уже дважды не увенчались успехом. В 2002 г. была установлена первая в городе площадка по раздельному сбору ТБО. В 2006 г. было объявлено о введении раздельного сбора мусора. Однако, кроме установки разноцветных контейнеров, программа не предусматривала информирования населения и работы с коммунальными службами, поэтому в течение года даже установленные контейнеры фактически перестали использоваться по назначению. В 2012 г. инициативу проявили представители бизнеса: ОАО «Автопарк № 1 "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"», занимающийся вывозом ТБО у населения, предложил установить контейнеры в двух районах города за свой счет, а информированием близлежащих домов занялись волонтеры экологического движения «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РазДельный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Сбор». Но и эта инициатива в конце года была свернута. Также неудачным оказался опыт внедрения раздельного сбора мусора в Новосибирске. Там дело закончилось практически саботажем жителей и призывами убрать цветные контейнеры. Очень вяло реализуются данные инициативы и в Москве.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имеющийся на сегодня опыт по внедрению раздельного сбора мусора в городах России, можно назвать несколько очевидных причин неудач. Главная причина —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плохая организация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безответственное отношение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власти и управления к вопросам совершенствования деятельности по обращению с коммунальными отходами.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Совершенно недопустимое отношение к населению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просто ставят перед фактом: «Нужно сортировать мусор в три контейнера!» — и все. Особенно если при плохой организации вывоза и переработки мусора люди видят всю бессмысленность такой деятельности.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заметку. 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С населением надо вести разъяснительную работу, и в первую очередь в школах, на предприятиях, в организациях. Ведь каждый из нас — это либо работник предприятия, либо покупатель, либо продавец в магазине. Поэтому, работая с людьми в учреждениях,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мы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таким образом подготавливаем всех жителей города к активному участию в проектах по сбору и переработке отходов.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один момент, о котором следует упомянуть, — это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экономической мотивации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всех участников процесса — от жителей до предприятия по вывозу мусора.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задействовать все механизмы сортировки вторсырья: кроме контейнеров во дворах, должны быть открыты пункты приема по всем видам отсортированных отходов для тех, кто готов сдавать отсортированные отходы самостоятельно.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наконец,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 проектов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об экологической деятельности в городе, в т.ч. о ходе реализации экологических проектов, должна появляться на телевизионных экранах, в газетах, журналах, в Интернете так же часто, как, скажем, реклама.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уже сегодня можно воспользоваться интерактивной картой пунктов приема вторсырья, опубликованной на сайте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(рис. 5). На карте размещена проверенная волонтерами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точках приема пластика, макулатуры, алюминиевых банок, стекла и одежды. Благодаря функционалу карт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пользователи могут сами принять участие в составлении и обновлении карты — добавлять информацию о пунктах приема вторсырья, сообщать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появлении новых точек, оставлять отзывы об их работе и даже участвовать в составлении рейтинга пунктов. Таким образом, на карте отражена самая свежая и проверенная информация. Помимо точек по сбору традиционных видов отходов — макулатуры, стекла, пластика, алюминиевых банок, цветных металлов, на карте отмечены пункты, принимающие старую одежду, — храмы, фонды, благотворительные организации и центры социальной помощи. Это очень важно, потому что информации о местах приема одежды практически нет — и вещи в хорошем состоянии нередко оказываются на помойках, пополняя городские свалки.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0" cy="5657850"/>
            <wp:effectExtent l="19050" t="0" r="0" b="0"/>
            <wp:docPr id="8" name="Рисунок 8" descr="https://www.profiz.ru/pictures/different/5_pic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rofiz.ru/pictures/different/5_pic_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картой очень просто. Нужно зайти на сайт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Greenpea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http://www.greenpeace.org/russia/ru/campaigns/ecodom/trash/recyclemap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воспользоваться короткой ссылкой </w:t>
      </w:r>
      <w:proofErr w:type="spellStart"/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www.recyclemap.ru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ввести свой адрес в поисковую строку — и вы увидите, какие пункты приема вторсырья находятся поблизости. Они разделены по видам принимаемого вторсырья: бумага, стекло, пластик, металл, одежда, опасные отходы и иные. В описании каждого пункта есть телефоны, а также информация о том, какое именно вторсырье принимается и в каком виде.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на карте были отмечены только пункты приема вторсырья Москвы и Санкт-Петербурга. Сегодня же, помимо москвичей и петербуржцев, свою карту получили жители Обнинска, Воронежа и еще десятка городов. В ближайшее время на карту будут добавлены пункты приема ряда других городов.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хотелось бы отметить, что в конце февраля прошел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«Новое в природоохранном законодательстве. Обращение с отходами», </w:t>
      </w:r>
      <w:proofErr w:type="gram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</w:t>
      </w:r>
      <w:proofErr w:type="gram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Минприроды России для специалистов, работающих в сфере обращения с отходами. В ходе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Министра природных ресурсов и экологии Российской Федерации Р.Р.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Гизатулин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ранее упоминавшийся в статье проект «Комплексная стратегия в области обращения с твердыми коммунальными (бытовыми) отходами в Российской Федерации» (далее — Комплексная стратегия).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сведению.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 Достижение главной цели Комплексной стратегии обеспечивается решением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основных задач</w:t>
      </w: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 xml:space="preserve">: 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совершенствование нормативно-правового регулирования деятельности по обращению с твердыми коммунальными отходами (далее — ТКО);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создание эффективной системы управления в области обращения с ТКО;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развитие инфраструктуры по раздельному сбору, использованию (утилизации), обезвреживанию и экологически безопасному размещению ТКО;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обеспечение экологической безопасности при сборе, обезвреживании и захоронении ТКО;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внедрение механизмов экономического регулирования деятельности по обращению с ТКО;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развитие системы экологического образования, просвещения и воспитания по вопросам обращения с ТКО;</w:t>
      </w:r>
    </w:p>
    <w:p w:rsidR="00EE2FD6" w:rsidRPr="00EE2FD6" w:rsidRDefault="00EE2FD6" w:rsidP="00EE2F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shd w:val="clear" w:color="auto" w:fill="CCFFFF"/>
          <w:lang w:eastAsia="ru-RU"/>
        </w:rPr>
        <w:t>обеспечение сбора и представления достоверной информации о деятельности по обращению с ТКО.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эффективной системы управления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деятельности по обращению с ТКО на всех уровнях власти является первоочередной задачей, от выполнения которой зависит успех всего проекта. Для разработки и внедрения такой системы нужно руководствоваться международным стандартом ИСО 14001. В соответствии с этим стандартом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эффективная система управления должна включать следующие элементы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совершенствования системы управления в сфере обращения с отходами органами власти и декларация своих намерений об организации системы раздельного сбора ТБО;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координационного совета, который будет принимать управляющие решения по результатам анализа выполненных работ. В совет должны войти 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представители руководства основных сфер деятельности, в т.ч. образовательной и СМИ;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руководителя проекта;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матрицы ответственности, о которой уже говорилось выше. Каждый участник проекта должен знать границы своей деятельности и нести ответственность (и не только моральную) за ее не выполнение;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нормативных, правовых и методических документов на уровнях Правительства Российской Федерации, субъектов Российской Федерации, региональном и муниципальном уровнях по вопросам обращения с ТБО;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проблемных значимых для всех жителей города аспектов деятельности по управлению отходами;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и задач в сфере обращения с ТБО для города, разработка и реализация программ по их достижению, определение ресурсов для реализации программ;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и мониторинг. Для этой работы необходимо привлекать, кроме специализированных органов, органы СМИ, образовательные учреждения и особенно молодежь. Они умеют общаться на расстоянии и, главное, слышать друг друга, в режиме </w:t>
      </w:r>
      <w:proofErr w:type="spellStart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и доводить до сведения администрации критические ситуации во всех районах города;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отдела экологического аудита для контроля над исполнением управляющих решений координационного совета и администрации;</w:t>
      </w:r>
    </w:p>
    <w:p w:rsidR="00EE2FD6" w:rsidRPr="00EE2FD6" w:rsidRDefault="00EE2FD6" w:rsidP="00EE2F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регулярный анализ и корректировка действий для повышения эффективности работы всей системы управления деятельностью по обращению с ТБО и, в частности, по их раздельному сбору и переработке. 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зарубежных стран показал эффективность систем управления, созданных по данной схеме. Вполне вероятно, что от сжигания мусора нельзя будет отказаться полностью (хотя в некоторых странах это и сделали), но в законопроекте Минприроды России нет ни слова о сжигании, а в иерархии обращения с отходами приоритетными названы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предотвращение образования отходов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использование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переработка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Коллеги, не будем изобретать велосипед, тратить средства и время на пустые эксперименты. Давайте работать! Создание эффективных систем раздельного сбора ТБО — это шаг к нашей с вами экологической безопасности.</w:t>
      </w:r>
    </w:p>
    <w:p w:rsidR="00EE2FD6" w:rsidRPr="00EE2FD6" w:rsidRDefault="00EE2FD6" w:rsidP="00EE2F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выражает благодарность своим коллегам и единомышленникам </w:t>
      </w:r>
      <w:proofErr w:type="spellStart"/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Тарасевич</w:t>
      </w:r>
      <w:proofErr w:type="spellEnd"/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Т.В., Климовой С.О., </w:t>
      </w:r>
      <w:proofErr w:type="spellStart"/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Ашкову</w:t>
      </w:r>
      <w:proofErr w:type="spellEnd"/>
      <w:r w:rsidRPr="00EE2F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А.Г. за участие в обсуждении и предоставлении информации по теме.</w:t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154.35pt;height:.75pt" o:hrpct="330" o:hrstd="t" o:hr="t" fillcolor="#a0a0a0" stroked="f"/>
        </w:pict>
      </w:r>
    </w:p>
    <w:bookmarkStart w:id="9" w:name="_ftn3"/>
    <w:p w:rsidR="00EE2FD6" w:rsidRPr="00EE2FD6" w:rsidRDefault="00EE2FD6" w:rsidP="00EE2FD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"_ftnref3"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[1]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Текст доклада можно скачать по ссылке </w:t>
      </w:r>
      <w:r w:rsidRPr="00EE2F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http://www.mnr.gov.ru/upload/iblock/a76/gosdoklad2011.pdf</w:t>
      </w:r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</w:p>
    <w:p w:rsidR="00EE2FD6" w:rsidRPr="00EE2FD6" w:rsidRDefault="00EE2FD6" w:rsidP="00EE2FD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EE2FD6" w:rsidRPr="00EE2FD6" w:rsidRDefault="00EE2FD6" w:rsidP="00EE2FD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[2]</w:t>
        </w:r>
      </w:hyperlink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О неаполитанском мусорном кризисе </w:t>
      </w:r>
      <w:proofErr w:type="gramStart"/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см</w:t>
      </w:r>
      <w:proofErr w:type="gramEnd"/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. </w:t>
      </w:r>
      <w:r w:rsidRPr="00EE2F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http://www.musorshik.ru/tiding/neapol.html</w:t>
      </w:r>
      <w:r w:rsidRPr="00EE2FD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_ftnref3" w:tooltip="" w:history="1">
        <w:proofErr w:type="gramStart"/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[3]</w:t>
        </w:r>
      </w:hyperlink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При составлении таблицы были использованы данные доклада председателя Общественного совета при Федеральной службе по надзору в сфере природопользования А.Ф. Малышевского «Обоснование выбора оптимального способа обезвреживания твердых бытовых отходов жилого фонда в городах России» (текст доклада можно скачать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http://rpn.gov.ru/node/6481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) и анализа данного доклада, сделанного НП «Союз экологов </w:t>
      </w:r>
      <w:proofErr w:type="spell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Северо-Запада</w:t>
      </w:r>
      <w:proofErr w:type="spell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» (с анализом доклада можно</w:t>
      </w:r>
      <w:proofErr w:type="gram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ознакомиться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http://econw.ru/analiz-doklada-.html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).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Start w:id="10" w:name="_ftn4"/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"https://www.profiz.ru/eco/5_2013/sbor_tbo/" \l "_ftnref4" \o "" </w:instrTex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2FD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[4]</w:t>
      </w: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  <w:r w:rsidRPr="00EE2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Среди работ представителей </w:t>
      </w:r>
      <w:proofErr w:type="spell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Greenpeace</w:t>
      </w:r>
      <w:proofErr w:type="spell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России необходимо назвать </w:t>
      </w:r>
      <w:proofErr w:type="gram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следующие</w:t>
      </w:r>
      <w:proofErr w:type="gram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:</w:t>
      </w:r>
    </w:p>
    <w:p w:rsidR="00EE2FD6" w:rsidRPr="00EE2FD6" w:rsidRDefault="00EE2FD6" w:rsidP="00EE2F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– И. Бабанин. Мусорная революция. Как решить проблему бытовых отходов с минимальными затратами // ОМННО «Совет Гринпис», 2008. — 22 </w:t>
      </w:r>
      <w:proofErr w:type="gram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. (</w:t>
      </w:r>
      <w:proofErr w:type="gram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с</w:t>
      </w:r>
      <w:proofErr w:type="gram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текстом доклада можно ознакомиться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http://www.greenpeace.org/russia/Global/russia/report/2008/10/2519714.pdf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);</w:t>
      </w:r>
    </w:p>
    <w:p w:rsidR="00EE2FD6" w:rsidRPr="00EE2FD6" w:rsidRDefault="00EE2FD6" w:rsidP="00EE2F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– И.В. Бабанин. Организация селективного сбора отходов. Методические рекомендации // Твердые бытовые отходы. 2009. № 9. С. 10–17 (с текстом статьи можно ознакомиться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http://www.greenpeace.org/russia/Global/russia/report/2009/11/4043679.pdf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)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[5]</w:t>
        </w:r>
      </w:hyperlink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А. Дмитриев, И.В. Бабанин. Обращение с отходами в Сан-Франциско // Твердые бытовые отходы. 2008. № 6. — с. 54–57 (те</w:t>
      </w:r>
      <w:proofErr w:type="gramStart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кст ст</w:t>
      </w:r>
      <w:proofErr w:type="gramEnd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атьи можно скачать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http://www.greenpeace.org/russia/Global/russia/report/2008/11/100.doc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).</w:t>
      </w:r>
    </w:p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[6]</w:t>
        </w:r>
      </w:hyperlink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Текст данного проекта можно скачать по ссылке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http://www.mnr.gov.ru/regulatory/detail.php?ID=130289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[7]</w:t>
        </w:r>
      </w:hyperlink>
      <w:bookmarkStart w:id="11" w:name="_ftn7"/>
      <w:bookmarkEnd w:id="11"/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Подробнее об установке контейнеров и переработке пластиковых отходов в Солнечногорске и Волгограде читайте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http://gp-russia.livejournal.com/1705676.html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,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http://www.vlg.aif.ru/society/news/63596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,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http://www.volgograd-trv.ru/news.aspx?id=17419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[8]</w:t>
        </w:r>
      </w:hyperlink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 xml:space="preserve"> </w:t>
      </w:r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>http://news.mail.ru/inregions/ural/74/society/11841748</w:t>
      </w:r>
      <w:r w:rsidRPr="00EE2FD6">
        <w:rPr>
          <w:rFonts w:ascii="Times New Roman" w:eastAsia="Times New Roman" w:hAnsi="Times New Roman" w:cs="Times New Roman"/>
          <w:color w:val="0E0F0E"/>
          <w:sz w:val="20"/>
          <w:szCs w:val="20"/>
          <w:lang w:eastAsia="ru-RU"/>
        </w:rPr>
        <w:t>.</w:t>
      </w:r>
    </w:p>
    <w:p w:rsidR="00EE2FD6" w:rsidRPr="00EE2FD6" w:rsidRDefault="00EE2FD6" w:rsidP="00EE2F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_ftnref3" w:tooltip="" w:history="1">
        <w:r w:rsidRPr="00EE2FD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[9]</w:t>
        </w:r>
      </w:hyperlink>
      <w:bookmarkEnd w:id="9"/>
      <w:r w:rsidRPr="00EE2FD6">
        <w:rPr>
          <w:rFonts w:ascii="Times New Roman" w:eastAsia="Times New Roman" w:hAnsi="Times New Roman" w:cs="Times New Roman"/>
          <w:i/>
          <w:iCs/>
          <w:color w:val="0E0F0E"/>
          <w:sz w:val="24"/>
          <w:szCs w:val="24"/>
          <w:lang w:eastAsia="ru-RU"/>
        </w:rPr>
        <w:t xml:space="preserve"> http://www.newsvl.ru/vlad/2009/07/27/67182.</w:t>
      </w:r>
    </w:p>
    <w:p w:rsidR="00EE2FD6" w:rsidRPr="00EE2FD6" w:rsidRDefault="00EE2FD6" w:rsidP="00EE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4A" w:rsidRPr="00EE2FD6" w:rsidRDefault="00EE2FD6" w:rsidP="00EE2FD6">
      <w:pPr>
        <w:spacing w:before="300" w:after="100" w:afterAutospacing="1" w:line="240" w:lineRule="auto"/>
      </w:pPr>
      <w:r w:rsidRPr="00E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 Булгакова, доцент Воронежского государственного университета инженерных технологий, аудитор-эколог.</w:t>
      </w:r>
    </w:p>
    <w:sectPr w:rsidR="0034644A" w:rsidRPr="00EE2FD6" w:rsidSect="0034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A2C"/>
    <w:multiLevelType w:val="multilevel"/>
    <w:tmpl w:val="8E8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23D4F"/>
    <w:multiLevelType w:val="multilevel"/>
    <w:tmpl w:val="68A8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D6"/>
    <w:rsid w:val="0034644A"/>
    <w:rsid w:val="00EE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4A"/>
  </w:style>
  <w:style w:type="paragraph" w:styleId="1">
    <w:name w:val="heading 1"/>
    <w:basedOn w:val="a"/>
    <w:link w:val="10"/>
    <w:uiPriority w:val="9"/>
    <w:qFormat/>
    <w:rsid w:val="00EE2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E2F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2F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F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2F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2FD6"/>
    <w:rPr>
      <w:color w:val="0000FF"/>
      <w:u w:val="single"/>
    </w:rPr>
  </w:style>
  <w:style w:type="character" w:styleId="a4">
    <w:name w:val="Emphasis"/>
    <w:basedOn w:val="a0"/>
    <w:uiPriority w:val="20"/>
    <w:qFormat/>
    <w:rsid w:val="00EE2FD6"/>
    <w:rPr>
      <w:i/>
      <w:iCs/>
    </w:rPr>
  </w:style>
  <w:style w:type="paragraph" w:styleId="a5">
    <w:name w:val="Normal (Web)"/>
    <w:basedOn w:val="a"/>
    <w:uiPriority w:val="99"/>
    <w:semiHidden/>
    <w:unhideWhenUsed/>
    <w:rsid w:val="00EE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3">
    <w:name w:val="b-share-form-button3"/>
    <w:basedOn w:val="a0"/>
    <w:rsid w:val="00EE2FD6"/>
    <w:rPr>
      <w:rFonts w:ascii="Verdana" w:hAnsi="Verdana" w:hint="default"/>
      <w:sz w:val="24"/>
      <w:szCs w:val="24"/>
      <w:bdr w:val="none" w:sz="0" w:space="0" w:color="auto" w:frame="1"/>
    </w:rPr>
  </w:style>
  <w:style w:type="character" w:styleId="a6">
    <w:name w:val="Strong"/>
    <w:basedOn w:val="a0"/>
    <w:uiPriority w:val="22"/>
    <w:qFormat/>
    <w:rsid w:val="00EE2FD6"/>
    <w:rPr>
      <w:b/>
      <w:bCs/>
    </w:rPr>
  </w:style>
  <w:style w:type="character" w:styleId="a7">
    <w:name w:val="footnote reference"/>
    <w:basedOn w:val="a0"/>
    <w:uiPriority w:val="99"/>
    <w:semiHidden/>
    <w:unhideWhenUsed/>
    <w:rsid w:val="00EE2FD6"/>
  </w:style>
  <w:style w:type="paragraph" w:customStyle="1" w:styleId="author-name">
    <w:name w:val="author-name"/>
    <w:basedOn w:val="a"/>
    <w:rsid w:val="00EE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2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profiz.ru/eco/5_2013/sbor_tbo/" TargetMode="External"/><Relationship Id="rId18" Type="http://schemas.openxmlformats.org/officeDocument/2006/relationships/hyperlink" Target="https://www.profiz.ru/eco/5_2013/sbor_tb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hyperlink" Target="https://www.profiz.ru/eco/5_2013/sbor_tb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fiz.ru/eco/5_2013/sbor_tb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fiz.ru/eco/rubric/134/" TargetMode="External"/><Relationship Id="rId11" Type="http://schemas.openxmlformats.org/officeDocument/2006/relationships/image" Target="media/image5.gif"/><Relationship Id="rId5" Type="http://schemas.openxmlformats.org/officeDocument/2006/relationships/hyperlink" Target="https://www.profiz.ru/eco/5_2013/" TargetMode="External"/><Relationship Id="rId15" Type="http://schemas.openxmlformats.org/officeDocument/2006/relationships/hyperlink" Target="https://www.profiz.ru/eco/5_2013/sbor_tbo/" TargetMode="External"/><Relationship Id="rId10" Type="http://schemas.openxmlformats.org/officeDocument/2006/relationships/image" Target="media/image4.gif"/><Relationship Id="rId19" Type="http://schemas.openxmlformats.org/officeDocument/2006/relationships/hyperlink" Target="https://www.profiz.ru/eco/5_2013/sbor_tb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www.profiz.ru/eco/5_2013/sbor_tb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3970</Words>
  <Characters>22635</Characters>
  <Application>Microsoft Office Word</Application>
  <DocSecurity>0</DocSecurity>
  <Lines>188</Lines>
  <Paragraphs>53</Paragraphs>
  <ScaleCrop>false</ScaleCrop>
  <Company/>
  <LinksUpToDate>false</LinksUpToDate>
  <CharactersWithSpaces>26552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2019-06-19T03:57:00Z</dcterms:created>
  <dcterms:modified xsi:type="dcterms:W3CDTF">2019-06-19T03:59:00Z</dcterms:modified>
</cp:coreProperties>
</file>