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73E" w:rsidRPr="0045773E" w:rsidRDefault="0045773E" w:rsidP="0045773E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ПРАВИТЕЛЬСТВО РОССИЙСКОЙ ФЕДЕРАЦИИ</w:t>
      </w:r>
    </w:p>
    <w:p w:rsidR="0045773E" w:rsidRPr="0045773E" w:rsidRDefault="0045773E" w:rsidP="0045773E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bookmarkStart w:id="0" w:name="_GoBack"/>
      <w:r w:rsidRPr="0045773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ПОСТАНОВЛЕНИЕ</w:t>
      </w:r>
    </w:p>
    <w:p w:rsidR="0045773E" w:rsidRPr="0045773E" w:rsidRDefault="0045773E" w:rsidP="0045773E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</w:t>
      </w:r>
      <w:proofErr w:type="gramEnd"/>
      <w:r w:rsidRPr="0045773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9 июля 2016 года N 649</w:t>
      </w:r>
      <w:r w:rsidRPr="0045773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 мерах по приспособлению жилых помещений и общего имущества в многоквартирном доме с учетом потребностей инвалидов</w:t>
      </w:r>
    </w:p>
    <w:bookmarkEnd w:id="0"/>
    <w:p w:rsidR="0045773E" w:rsidRPr="0045773E" w:rsidRDefault="0045773E" w:rsidP="0045773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изменениями на 10 февраля 2020 года)</w:t>
      </w:r>
    </w:p>
    <w:p w:rsidR="0045773E" w:rsidRPr="0045773E" w:rsidRDefault="0045773E" w:rsidP="0045773E">
      <w:pPr>
        <w:spacing w:after="0" w:line="240" w:lineRule="auto"/>
        <w:textAlignment w:val="baseline"/>
        <w:rPr>
          <w:rFonts w:ascii="Arial" w:eastAsia="Times New Roman" w:hAnsi="Arial" w:cs="Arial"/>
          <w:color w:val="3451A0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3451A0"/>
          <w:sz w:val="24"/>
          <w:szCs w:val="24"/>
          <w:lang w:eastAsia="ru-RU"/>
        </w:rPr>
        <w:t>Информация об изменяющих документах</w:t>
      </w:r>
    </w:p>
    <w:p w:rsidR="0045773E" w:rsidRPr="0045773E" w:rsidRDefault="0045773E" w:rsidP="0045773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5773E" w:rsidRPr="0045773E" w:rsidRDefault="0045773E" w:rsidP="0045773E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основании </w:t>
      </w:r>
      <w:hyperlink r:id="rId4" w:anchor="AA40NO" w:history="1">
        <w:r w:rsidRPr="0045773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статей 12</w:t>
        </w:r>
      </w:hyperlink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5" w:anchor="7EA0KE" w:history="1">
        <w:r w:rsidRPr="0045773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15 Жилищного кодекса Российской Федерации</w:t>
        </w:r>
      </w:hyperlink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Правительство Российской Федерации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постановляет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прилагаемые: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6" w:anchor="65E0IS" w:history="1">
        <w:r w:rsidRPr="0045773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Правила обеспечения условий доступности для инвалидов жилых помещений и общего имущества в многоквартирном доме</w:t>
        </w:r>
      </w:hyperlink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7" w:anchor="8OO0LO" w:history="1">
        <w:proofErr w:type="gramStart"/>
        <w:r w:rsidRPr="0045773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изменения</w:t>
        </w:r>
        <w:proofErr w:type="gramEnd"/>
        <w:r w:rsidRPr="0045773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, которые вносятся в акты Правительства Российской Федерации</w:t>
        </w:r>
      </w:hyperlink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Установить, что разъяснения по применению </w:t>
      </w:r>
      <w:hyperlink r:id="rId8" w:anchor="65E0IS" w:history="1">
        <w:r w:rsidRPr="0045773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Правил</w:t>
        </w:r>
      </w:hyperlink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утвержденных настоящим постановлением, дает Министерство строительства и жилищно-коммунального хозяйства Российской Федерации.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Министерству строительства и жилищно-коммунального хозяйства Российской Федерации в 3-месячный срок утвердить: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форму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инвалида;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форму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инвалида;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г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формы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Председатель Правительства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Российской Федерации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Д.Медведев</w:t>
      </w:r>
      <w:proofErr w:type="spellEnd"/>
    </w:p>
    <w:p w:rsidR="0045773E" w:rsidRPr="0045773E" w:rsidRDefault="0045773E" w:rsidP="0045773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45773E" w:rsidRPr="0045773E" w:rsidRDefault="0045773E" w:rsidP="0045773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45773E" w:rsidRPr="0045773E" w:rsidRDefault="0045773E" w:rsidP="0045773E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УТВЕРЖДЕНЫ</w:t>
      </w:r>
      <w:r w:rsidRPr="0045773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постановлением Правительства</w:t>
      </w:r>
      <w:r w:rsidRPr="0045773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Российской Федерации</w:t>
      </w:r>
      <w:r w:rsidRPr="0045773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9 июля 2016 года N 649</w:t>
      </w:r>
    </w:p>
    <w:p w:rsidR="0045773E" w:rsidRPr="0045773E" w:rsidRDefault="0045773E" w:rsidP="0045773E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  <w:r w:rsidRPr="0045773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5773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Правила обеспечения условий доступности для инвалидов жилых помещений и общего имущества в многоквартирном доме      </w:t>
      </w:r>
    </w:p>
    <w:p w:rsidR="0045773E" w:rsidRPr="0045773E" w:rsidRDefault="0045773E" w:rsidP="0045773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изменениями на 10 февраля 2020 года)</w:t>
      </w:r>
    </w:p>
    <w:p w:rsidR="0045773E" w:rsidRPr="0045773E" w:rsidRDefault="0045773E" w:rsidP="0045773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45773E" w:rsidRPr="0045773E" w:rsidRDefault="0045773E" w:rsidP="0045773E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I. Общие положения</w:t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Настоящие Правила устанавливают порядок обеспечения условий доступности для инвалидов жилых помещений и общего имущества в многоквартирном доме и требования по приспособлению жилых помещений в многоквартирном доме с учетом потребностей инвалидов.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Настоящие Правила применяются к жилым помещениям, входящим в состав жилищного фонда Российской Федерации, жилищного фонда субъектов Российской Федерации, муниципального жилищного фонда, частного жилищного фонда, занимаемым инвалидами и семьями, имеющими детей-инвалидов, и используемым для их постоянного проживания (далее - жилые помещения инвалидов), а также к общему имуществу в многоквартирном доме, в котором расположены указанные жилые помещения (далее - многоквартирный дом, в котором проживает инвалид).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Доступность для инвалида жилого помещения инвалида и общего имущества в многоквартирном доме, в котором проживает инвалид, обеспечивается посредством приспособления жилого помещения инвалида и общего имущества в многоквартирном доме, в котором проживает инвалид, с учетом потребностей инвалида. Под указанным приспособлением понимается изменение и переоборудование жилого помещения инвалида в зависимости от особенностей ограничения жизнедеятельности, обусловленного инвалидностью лица, проживающего в указанном помещении, а также общего имущества в многоквартирном доме, в котором проживает инвалид, для обеспечения беспрепятственного доступа инвалида к жилому помещению.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Координацию мероприятий по приспособлению жилых помещений инвалидов с учетом потребностей инвалидов обеспечивают: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отношении жилых помещений инвалидов, входящих в состав жилищного фонда Российской Федерации, - федеральный орган исполнительной власти, осуществляющий полномочия собственника в отношении указанных жилых помещений (далее - уполномоченный федеральный орган);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отношении иных жилых помещений инвалидов - орган государственной власти субъекта Российской Федерации, уполномоченный в соответствии с нормативными правовыми актами субъекта Российской Федерации (далее - уполномоченный орган).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II. Обеспечение условий доступности жилых помещений и общего имущества в многоквартирном доме для инвалидов</w:t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Обследование жилого помещения инвалида и общего имущества в многоквартирном доме, в котором проживает инвалид, осуществляется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- обследование), в том числе ограничений, вызванных: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стойкими расстройствами функции слуха, сопряженными с необходимостью использования вспомогательных средств;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стойкими расстройствами функции зрения, сопряженными с необходимостью использования собаки-проводника, иных вспомогательных средств;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задержками в развитии и другими нарушениями функций организма человека.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 и включает в себя: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) рассмотрение документов о признании гражданина инвалидом, в том числе выписки из акта медико-социальной экспертизы гражданина, признанного инвалидом. Уполномоченный федеральный орган (уполномоченный орган) в порядке межведомственного электронного взаимодействия запрашивает в 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Пенсионном фонде Российской Федерации сведения, подтверждающие факт установления инвалидности. Межведомственный запрос направляется указанными уполномоченными органами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Указанные сведения предоставляются Пенсионным фондом Российской Федерации в течение 3 рабочих дней со дня получения запроса. Гражданин, признанный инвалидом (семья, имеющая ребенка-инвалида), вправе по собственной инициативе представить в указанные уполномоченные органы в качестве сведений, подтверждающих факт установления инвалидности, документы о признании гражданина (ребенка) инвалидом, в том числе выписку из акта медико-социальной экспертизы гражданина (ребенка), признанного инвалидом;</w:t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(Подпункт в редакции, введенной в действие с 1 июля 2020 года </w:t>
      </w:r>
      <w:hyperlink r:id="rId9" w:anchor="7EE0KH" w:history="1">
        <w:r w:rsidRPr="0045773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10 февраля 2020 года N 114</w:t>
        </w:r>
      </w:hyperlink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0" w:anchor="7DE0K7" w:history="1">
        <w:r w:rsidRPr="0045773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предыдущую </w:t>
        </w:r>
        <w:proofErr w:type="gramStart"/>
        <w:r w:rsidRPr="0045773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редакцию</w:t>
        </w:r>
      </w:hyperlink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  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Обследование жилых помещений инвалидов и общего имущества в многоквартирных домах, в которых проживают инвалиды, входящих в состав жилищного фонда Российской Федерации, осуществляется федеральной межведомственной комиссией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создаваемой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 (далее - федеральная комиссия). Указанное обследование проводится в соответствии с планом мероприятий, утвержденным уполномоченным федеральным органом.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Обследование жилых помещений инвалидов и общего имущества в многоквартирных домах, в которых проживают инвалиды, входящих в состав жилищного фонда субъекта Российской Федерации, осуществляется региональной межведомственной комиссией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создаваемой уполномоченным органом (далее - региональная комиссия). Указанное 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обследование проводится в соответствии с планом мероприятий, утвержденным высшим исполнительным органом государственной власти субъекта Российской Федерации.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осуществляется муниципальными комиссиями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создаваемыми органами местного самоуправления (далее - муниципальная комиссия). Указанное обследование проводится в соответствии с планом мероприятий, утвержденным органом местного самоуправления соответствующего муниципального образования.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В состав федеральной комиссии включаются представители: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уполномоченного федерального органа;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органов государственного жилищного надзора;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общественных объединений инвалидов.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В состав региональной комиссии включаются представители: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органов государственного жилищного надзора;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органов исполнительной власти субъекта Российской Федерации, в том числе в сфере социальной защиты населения, в сфере архитектуры и градостроительства;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общественных объединений инвалидов.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В состав муниципальной комиссии включаются представители: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органов муниципального жилищного контроля;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органов местного самоуправления, в том числе в сфере социальной защиты населения, в сфере архитектуры и градостроительства;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общественных объединений инвалидов.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Порядок создания и работы федеральной комиссии устанавливается уполномоченным федеральным органом, порядок создания и работы региональной и муниципальной комиссий устанавливается уполномоченным органом.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11. Решения комиссии принимаются большинством голосов членов комиссии.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описание характеристик жилого помещения инвалида, составленное на основании результатов обследования;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перечень требований из числа требований, предусмотренных </w:t>
      </w:r>
      <w:hyperlink r:id="rId11" w:anchor="7E80KG" w:history="1">
        <w:r w:rsidRPr="0045773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разделами III</w:t>
        </w:r>
      </w:hyperlink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12" w:anchor="8OK0LN" w:history="1">
        <w:r w:rsidRPr="0045773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IV настоящих Правил</w:t>
        </w:r>
      </w:hyperlink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которым не соответствует обследуемое жилое помещение инвалида (если такие несоответствия были выявлены);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настоящих Правил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13. Форма акта обследования утверждается Министерством строительства и жилищно-коммунального хозяйства Российской Федерации.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14. Перечень мероприятий может включать в себя: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а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минимальный перечень мероприятий, финансирование которых осуществляется за счет средств бюджета субъекта Российской Федерации, бюджетов муниципальных образований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В результате проведения таких мероприятий жилое помещение инвалида должно быть приведено в соответствие с требованиями, предусмотренными </w:t>
      </w:r>
      <w:hyperlink r:id="rId13" w:anchor="8OK0LN" w:history="1">
        <w:r w:rsidRPr="0045773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разделом IV настоящих Правил</w:t>
        </w:r>
      </w:hyperlink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оптимальный перечень мероприятий, финансирование которых может осуществляться за счет средств бюджета субъекта Российской Федерации, бюджетов муниципальных образований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В результате проведения таких мероприятий общее имущество многоквартирного дома, в котором проживает инвалид, должно быть приведено в соответствие с требованиями, предусмотренными </w:t>
      </w:r>
      <w:hyperlink r:id="rId14" w:anchor="7E80KG" w:history="1">
        <w:r w:rsidRPr="0045773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разделом III настоящих Правил</w:t>
        </w:r>
      </w:hyperlink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максимальный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 Российской Федерации.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16. 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Министерством строительства и жилищно-коммунального хозяйства Российской Федерации.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17.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инвалида комиссия по форме, утвержденной Министерством строительства и жилищно-коммунального хозяйства Российской Федерации, принимает решение: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18.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Министерством строительства и жилищно-коммунального хозяйства Российской Федерации.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акта обследования;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 </w:t>
      </w:r>
      <w:hyperlink r:id="rId15" w:anchor="7E20KE" w:history="1">
        <w:r w:rsidRPr="0045773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подпунктом "а" пункта 17 настоящих Правил.</w:t>
        </w:r>
      </w:hyperlink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акта обследования;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 </w:t>
      </w:r>
      <w:hyperlink r:id="rId16" w:anchor="7E40KF" w:history="1">
        <w:r w:rsidRPr="0045773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подпунктом "б" пункта 17 настоящих Правил</w:t>
        </w:r>
      </w:hyperlink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21.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22. Для принятия решения о включении мероприятий в план мероприятий заключение, предусмотренное </w:t>
      </w:r>
      <w:hyperlink r:id="rId17" w:anchor="7E80KH" w:history="1">
        <w:r w:rsidRPr="0045773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19 настоящих Правил</w:t>
        </w:r>
      </w:hyperlink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 течение 10 дней со дня его вынесения направляется федеральной комиссией в уполномоченный федеральный орган, региональной комиссией - в уполномоченный орган, муниципальной комиссией - главе муниципального образования по месту нахождения жилого помещения инвалида.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III. Требования к доступности жилого помещения и общего имущества в многоквартирном доме для инвалида</w:t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23. Территория, примыкающая к многоквартирному дому, в котором проживает инвалид, должна иметь нескользкое и невибрирующее покрытие (дорожное, напольное, лестничное) с шероховатой поверхностью без зазоров для сцепления подошвы обуви, опор вспомогательных средств хождения и колес кресла-коляски в разных погодных условиях.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Толщина швов между плитами покрытия составляет не более 15 миллиметров. Покрытие из рыхлых и сыпучих материалов не допускается.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Перепады уровней покрытия и пороги устраняются путем применения пандусов или уклонов покрытия. Одиночные ступени должны быть заменены пандусами, лестницы должны быть дублированы пандусами.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Продольный уклон пути движения, по которому возможен проезд инвалида на кресле-коляске, не должен превышать 5 процентов, поперечный - 2 процента. При устройстве съезда с тротуара на проезжую часть уклон должен быть не более 1:12, а около многоквартирного дома и в затесненных местах допускается увеличивать продольный уклон до 1:10 на протяжении не более 10 метров.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перепадах горизонтальных поверхностей высотой более 0,45 метра устанавливаются ограждения с поручнями.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24. На участке дорожного покрытия перед крыльцом многоквартирного дома, в котором проживает инвалид, оборудуются: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) рельефная (тактильная) полоса дорожных указателей шириной 0,5-0,6 метра из рельефной тротуарной плитки или аналогичного дорожного покрытия на расстоянии 0,8 метра от </w:t>
      </w:r>
      <w:proofErr w:type="spell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подступенка</w:t>
      </w:r>
      <w:proofErr w:type="spell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нижней ступени марша до ближайшего края рельефной (тактильной) полосы;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разворотная площадка для кресла-коляски перед пандусом размером 1,5 х 1,5 метра;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металлические пандусы, жестко закрепленные на неровных покрытиях или на ступенях лестницы.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25. Крыльцо многоквартирного дома, в котором проживает инвалид, и входная площадка должны отвечать следующим требованиям: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уровень пола помещения при входе в здание должен быть нулевой или не более 14 миллиметров со скошенными краями. Дверные проемы не должны иметь порогов и перепадов относительно уровня пола. При необходимости устройства порогов их высота или перепад высот не должны превышать 14 миллиметров;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дренажные и водосборные решетки должны быть на одном уровне с поверхностью покрытия. Ширина просветов их ячеек не должна превышать 13 миллиметров, а длина - 15 миллиметров. Допускается подогрев покрытия крыльца или входной площадки (в соответствии с местными климатическими условиями);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входная площадка при открывании дверей наружу должна быть не менее 1,4 х 2 метра или 1,5 х 1,85 метра;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входная площадка с пандусом должна быть не менее 2,2 х 2,2 метра, поперечный уклон покрытий должен быть в пределах 1-2 процентов.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26. Лестница крыльца многоквартирного дома, в котором проживает инвалид, должна отвечать следующим требованиям: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число подъемов (ступеней) в одном перепаде уровней должно быть не менее 3 и не более 12;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) поверхность ступеней должна иметь </w:t>
      </w:r>
      <w:proofErr w:type="spell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антискользящее</w:t>
      </w:r>
      <w:proofErr w:type="spell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покрытие и быть шероховатой;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ограждения с 2 сторон стационарной лестницы должны быть непрерывными, с 2-уровневыми поручнями на высоте от 0,7 до 0,9 метра, имеющими закругленные окончания, при этом расстояние между ближайшей стеной и поручнем должно быть не менее 50 миллиметров, расстояние между поручнями - не менее 1 метра;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верхняя и нижняя ступени должны выделяться цветом или фактурой;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перед открытой лестницей за 0,8-0,9 метра оборудуются предупредительные тактильные полосы шириной 0,3-0,5 метра.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27. Пандус крыльца многоквартирного дома, в котором проживает инвалид, должен отвечать следующим требованиям: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наклонная часть (марш) пандуса должна иметь сплошную поверхность и длину не более 9 метров;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) при устройстве съезда с тротуара на проезжую часть уклон должен быть не более 1:12, около здания допускается увеличить продольный уклон до 1:10 на протяжении не более 10 метров. Перепад высот в местах съезда на проезжую часть не должен превышать 15 миллиметров. Уклон пандуса крыльца должен 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быть не более 1:20. Пандус с расчетной длиной 36 метров и более или высотой более 3 метров следует заменять подъемными устройствами;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промежуточные горизонтальные площадки при высоте пандуса крыльца более 0,8 метра при прямом движении: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отсутствии поворота или разворота должны иметь ширину не менее 1 метра, глубину до 1,4 метра;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устройстве разворотной площадки для кресла-коляски должны иметь бортик с открытой стороны пандуса и </w:t>
      </w:r>
      <w:proofErr w:type="spell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колесоотбойное</w:t>
      </w:r>
      <w:proofErr w:type="spell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устройство высотой 0,1 метра на съезде и промежуточных площадках;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ограждения с 2 сторон пандуса должны быть непрерывными, с 2-уровневыми поручнями на высоте от 0,7 до 0,9 метра, имеющими закругленные окончания. Расстояние между поручнями должно быть от 0,9 до 1 метра, завершающие части поручня должны быть округлого сечения, горизонтальные части поручня должны быть длиннее марша на 0,3 метра;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поверхность пандуса должна быть нескользкой, отчетливо маркированной цветом или текстурой, контрастно отличающейся от прилегающей поверхности.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28. Навес крыльца многоквартирного дома, в котором проживает инвалид, должен иметь ограждение от метеорологических осадков и отвод поверхностных стоков, а также приборы электроосвещения.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29. Двери для входа в многоквартирный дом, в котором проживает инвалид, и тамбур должны отвечать следующим требованиям: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наружный дверной проем должен иметь ширину не менее 1,2 метра;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входная дверь должна иметь контрастную окраску по краям дверного полотна или наличника;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наружные двери могут иметь пороги, при этом высота каждого элемента порога не должна превышать 14 миллиметров;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наружная дверь оборудуется информационной табличкой с указанием номеров подъезда и квартир, при этом высота символов, контрастно отличающихся цветом от поверхности таблички, составляет не менее 75 миллиметров, а также табличкой с такой же информацией с использованием шрифта Брайля, расположенной на высоте от 0,7 до 0,9 метра;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ширина внутренних дверных и арочных проемов должна быть не менее 0,9 метра, при глубине откоса открытого проема более 1 метра ширина проема должна быть не менее 1,2 метра;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) двери должны быть оборудованы доводчиками с регулируемым усилием не более 19,5 </w:t>
      </w:r>
      <w:proofErr w:type="spell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Нм</w:t>
      </w:r>
      <w:proofErr w:type="spell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замедлением динамики открывания и закрывания с задержкой не менее 5 секунд. Допускается применение петель с фиксаторами положений "открыто" и "закрыто";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ж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) полотна наружных дверей включают в себя смотровые прозрачные ударопрочные панели с нижней кромкой на высоте 0,5-1,2 метра от уровня пола. Нижняя часть стеклянных полотен дверей на высоте не менее 0,3 метра от уровня пола должна быть защищена </w:t>
      </w:r>
      <w:proofErr w:type="spell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противоударной</w:t>
      </w:r>
      <w:proofErr w:type="spell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полосой. На прозрачных полотнах дверей размещается яркая контрастная маркировка, расположенная на уровне не ниже 1,2 метра и не выше 1,5 метра от поверхности пола;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) в качестве дверных запоров на путях эвакуации устанавливаются ручки нажимного действия. Усилие для открывания двери не должно превышать 50 </w:t>
      </w:r>
      <w:proofErr w:type="spell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Нм</w:t>
      </w:r>
      <w:proofErr w:type="spell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участки пола по пути движения на расстоянии 0,6 метра перед дверными проемами и входами должны иметь тактильные предупреждающие указатели и (или) контрастно окрашенную поверхность. На путях движения предусматриваются световые маячки.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Зоны возможной опасности с учетом проекции движения двери обозначаются краской для разметки, цвет которой должен контрастировать с окружающим пространством.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30. Тамбур (тамбур-шлюз) в многоквартирных домах при прямом движении и одностороннем открывании дверей должен быть не менее 2,3 метра глубиной и не менее 1,5 метра шириной.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31. </w:t>
      </w:r>
      <w:proofErr w:type="spell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Внеквартирные</w:t>
      </w:r>
      <w:proofErr w:type="spell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коридоры должны иметь ширину не менее 1,5 метра, минимальное пространство для поворота кресла-коляски на 90 градусов - размером 1,2 х 1,2 метра, для разворота на 180 градусов - диаметром 1,4 метра. Высота указанных коридоров должна быть не менее 2,1 метра. Перепады уровней и пороги устраняются путем устройства уклонов покрытий или пандусов, заделки или срезки порогов до высоты не более 25 миллиметров.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IV. Требования по приспособлению жилого помещения с учетом потребностей инвалида</w:t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32. Жилое помещение инвалида должно иметь жилую комнату, совмещенный санитарный узел для инвалида, переднюю-холл площадью не менее 4 кв. метров.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33. Ширина пути для движения кресла-коляски в одном направлении должна быть не менее 1,5 метра, минимальный размер площадки для поворота на 90 градусов должен составлять 1,2 х 1,2 метра, диаметр площадки для разворота на 180 градусов - 1,4 метра, высота проходов должна составлять не менее 2,1 метра.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34. Входные, внутренние квартирные и балконные двери должны иметь ширину дверных и арочных проемов не менее 0,9 метра. Входные и балконные двери оснащаются доводчиками с регулируемым усилием не более 19,5 </w:t>
      </w:r>
      <w:proofErr w:type="spell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Нм</w:t>
      </w:r>
      <w:proofErr w:type="spell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замедлением динамики открывания и закрывания с задержкой не менее 5 секунд.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35. Пороги дверных коробок входных и балконных дверей оснащаются временными съемными инвентарными пандусами (накладными, приставными).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36. Ширина передней-холла и коридора должна быть не менее 1,6 метра, при этом должна обеспечиваться возможность хранения кресла-коляски. 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Внутриквартирные коридоры должны иметь ширину не менее 1,15 метра.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37. Санитарные узлы должны иметь следующие размеры: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ванная комната или совмещенный санитарный узел - не менее 2,2 х 2,2 метра;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уборная с умывальником (рукомойником) - не менее 1,6 х 2,2 метра;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уборная без умывальника - не менее 1,2 х 1,6 метра при условии открывания двери наружу.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УТВЕРЖДЕНЫ</w:t>
      </w:r>
      <w:r w:rsidRPr="0045773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постановлением Правительства</w:t>
      </w:r>
      <w:r w:rsidRPr="0045773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Российской Федерации</w:t>
      </w:r>
      <w:r w:rsidRPr="0045773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9 июля 2016 года N 649</w:t>
      </w:r>
    </w:p>
    <w:p w:rsidR="0045773E" w:rsidRPr="0045773E" w:rsidRDefault="0045773E" w:rsidP="0045773E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  <w:r w:rsidRPr="0045773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5773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Изменения, которые вносятся в акты Правительства Российской Федерации</w:t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Предложение первое </w:t>
      </w:r>
      <w:hyperlink r:id="rId18" w:anchor="7E00KC" w:history="1">
        <w:r w:rsidRPr="0045773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пункта 54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</w:r>
      </w:hyperlink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утвержденного </w:t>
      </w:r>
      <w:hyperlink r:id="rId19" w:anchor="64U0IK" w:history="1">
        <w:r w:rsidRPr="0045773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28 января 2006 года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  </w:r>
      </w:hyperlink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2006, N 6, ст.702), изложить в следующей редакции: "Отдельные занимаемые инвалидами жилые помещения (комната, квартира)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 </w:t>
      </w:r>
      <w:hyperlink r:id="rId20" w:anchor="7DU0KB" w:history="1">
        <w:r w:rsidRPr="0045773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20 Правил обеспечения условий доступности для инвалидов жилых помещений и общего имущества в многоквартирном доме</w:t>
        </w:r>
      </w:hyperlink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утвержденных постановлением Правительства Российской Федерации от 9 июля 2016 года N 649 "О мерах по приспособлению жилых помещений и общего имущества в многоквартирном доме с учетом потребностей инвалидов".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Внести в </w:t>
      </w:r>
      <w:hyperlink r:id="rId21" w:anchor="7D60K4" w:history="1">
        <w:r w:rsidRPr="0045773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Правила содержания общего имущества в многоквартирном доме</w:t>
        </w:r>
      </w:hyperlink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утвержденные </w:t>
      </w:r>
      <w:hyperlink r:id="rId22" w:anchor="64U0IK" w:history="1">
        <w:r w:rsidRPr="0045773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13 августа 2006 года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  </w:r>
      </w:hyperlink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(Собрание законодательства Российской Федерации, 2006, N 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34, ст.3680; 2011, N 22, ст.3168; 2016, N 1, ст.244), следующие изменения: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 </w:t>
      </w:r>
      <w:hyperlink r:id="rId23" w:anchor="7EG0KI" w:history="1">
        <w:r w:rsidRPr="0045773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 "д" пункта 2</w:t>
        </w:r>
      </w:hyperlink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после слов "иное оборудование" дополнить словами ", в том числе конструкции и (или) иное оборудование, предназначенное для обеспечения беспрепятственного доступа инвалидов в помещения многоквартирного дома (далее - оборудование для инвалидов и иных маломобильных групп населения)";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 </w:t>
      </w:r>
      <w:hyperlink r:id="rId24" w:anchor="7EA0KE" w:history="1">
        <w:r w:rsidRPr="0045773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 "в" пункта 10</w:t>
        </w:r>
      </w:hyperlink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дополнить словами ", в том числе для инвалидов и иных маломобильных групп населения";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 </w:t>
      </w:r>
      <w:hyperlink r:id="rId25" w:anchor="8OS0LQ" w:history="1">
        <w:r w:rsidRPr="0045773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 "в" пункта 24</w:t>
        </w:r>
      </w:hyperlink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после слов "иного оборудования" дополнить словами ", в том числе оборудования для инвалидов и иных маломобильных групп населения".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В </w:t>
      </w:r>
      <w:hyperlink r:id="rId26" w:anchor="64U0IK" w:history="1">
        <w:r w:rsidRPr="0045773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постановлении Правительства Российской Федерации от 3 апреля 2013 года N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</w:t>
        </w:r>
      </w:hyperlink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</w:t>
      </w:r>
      <w:proofErr w:type="gramEnd"/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 </w:t>
      </w:r>
      <w:hyperlink r:id="rId27" w:anchor="7D60K4" w:history="1">
        <w:r w:rsidRPr="0045773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минимальный перечень услуг и работ, необходимых для обеспечения надлежащего содержания общего имущества в многоквартирном доме</w:t>
        </w:r>
      </w:hyperlink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утвержденный указанным </w:t>
      </w:r>
      <w:hyperlink r:id="rId28" w:anchor="64U0IK" w:history="1">
        <w:r w:rsidRPr="0045773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</w:t>
        </w:r>
      </w:hyperlink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дополнить пунктами 29 и 30 следующего содержания: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30. Работы и услуги, предусмотренные разделами I и II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доступа.";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5773E" w:rsidRPr="0045773E" w:rsidRDefault="0045773E" w:rsidP="004577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 </w:t>
      </w:r>
      <w:hyperlink r:id="rId29" w:anchor="7DO0K9" w:history="1">
        <w:r w:rsidRPr="0045773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 "а" пункта 3 Правил оказания услуг и выполнения работ, необходимых для обеспечения надлежащего содержания общего имущества в многоквартирном доме</w:t>
        </w:r>
      </w:hyperlink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утвержденных указанным </w:t>
      </w:r>
      <w:hyperlink r:id="rId30" w:anchor="64U0IK" w:history="1">
        <w:r w:rsidRPr="0045773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</w:t>
        </w:r>
      </w:hyperlink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дополнить словами ", в том числе конструкций и (или) иного оборудования, предназначенного для обеспечения условий доступности для инвалидов помещения многоквартирного дома".</w:t>
      </w:r>
      <w:r w:rsidRPr="0045773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858F0" w:rsidRDefault="003858F0"/>
    <w:sectPr w:rsidR="00385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E2"/>
    <w:rsid w:val="003858F0"/>
    <w:rsid w:val="0045773E"/>
    <w:rsid w:val="0089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9FD40-94E6-48DC-AFEC-9E25D5E3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4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424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0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BEBEB"/>
                            <w:left w:val="none" w:sz="0" w:space="15" w:color="auto"/>
                            <w:bottom w:val="single" w:sz="6" w:space="8" w:color="EBEBEB"/>
                            <w:right w:val="none" w:sz="0" w:space="8" w:color="auto"/>
                          </w:divBdr>
                        </w:div>
                        <w:div w:id="139107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86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366270" TargetMode="External"/><Relationship Id="rId13" Type="http://schemas.openxmlformats.org/officeDocument/2006/relationships/hyperlink" Target="https://docs.cntd.ru/document/420366270" TargetMode="External"/><Relationship Id="rId18" Type="http://schemas.openxmlformats.org/officeDocument/2006/relationships/hyperlink" Target="https://docs.cntd.ru/document/901966282" TargetMode="External"/><Relationship Id="rId26" Type="http://schemas.openxmlformats.org/officeDocument/2006/relationships/hyperlink" Target="https://docs.cntd.ru/document/49901234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901991977" TargetMode="External"/><Relationship Id="rId7" Type="http://schemas.openxmlformats.org/officeDocument/2006/relationships/hyperlink" Target="https://docs.cntd.ru/document/420366270" TargetMode="External"/><Relationship Id="rId12" Type="http://schemas.openxmlformats.org/officeDocument/2006/relationships/hyperlink" Target="https://docs.cntd.ru/document/420366270" TargetMode="External"/><Relationship Id="rId17" Type="http://schemas.openxmlformats.org/officeDocument/2006/relationships/hyperlink" Target="https://docs.cntd.ru/document/420366270" TargetMode="External"/><Relationship Id="rId25" Type="http://schemas.openxmlformats.org/officeDocument/2006/relationships/hyperlink" Target="https://docs.cntd.ru/document/90199197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20366270" TargetMode="External"/><Relationship Id="rId20" Type="http://schemas.openxmlformats.org/officeDocument/2006/relationships/hyperlink" Target="https://docs.cntd.ru/document/420366270" TargetMode="External"/><Relationship Id="rId29" Type="http://schemas.openxmlformats.org/officeDocument/2006/relationships/hyperlink" Target="https://docs.cntd.ru/document/499012340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0366270" TargetMode="External"/><Relationship Id="rId11" Type="http://schemas.openxmlformats.org/officeDocument/2006/relationships/hyperlink" Target="https://docs.cntd.ru/document/420366270" TargetMode="External"/><Relationship Id="rId24" Type="http://schemas.openxmlformats.org/officeDocument/2006/relationships/hyperlink" Target="https://docs.cntd.ru/document/901991977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docs.cntd.ru/document/901919946" TargetMode="External"/><Relationship Id="rId15" Type="http://schemas.openxmlformats.org/officeDocument/2006/relationships/hyperlink" Target="https://docs.cntd.ru/document/420366270" TargetMode="External"/><Relationship Id="rId23" Type="http://schemas.openxmlformats.org/officeDocument/2006/relationships/hyperlink" Target="https://docs.cntd.ru/document/901991977" TargetMode="External"/><Relationship Id="rId28" Type="http://schemas.openxmlformats.org/officeDocument/2006/relationships/hyperlink" Target="https://docs.cntd.ru/document/499012340" TargetMode="External"/><Relationship Id="rId10" Type="http://schemas.openxmlformats.org/officeDocument/2006/relationships/hyperlink" Target="https://docs.cntd.ru/document/542668840" TargetMode="External"/><Relationship Id="rId19" Type="http://schemas.openxmlformats.org/officeDocument/2006/relationships/hyperlink" Target="https://docs.cntd.ru/document/901966282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docs.cntd.ru/document/901919946" TargetMode="External"/><Relationship Id="rId9" Type="http://schemas.openxmlformats.org/officeDocument/2006/relationships/hyperlink" Target="https://docs.cntd.ru/document/564259107" TargetMode="External"/><Relationship Id="rId14" Type="http://schemas.openxmlformats.org/officeDocument/2006/relationships/hyperlink" Target="https://docs.cntd.ru/document/420366270" TargetMode="External"/><Relationship Id="rId22" Type="http://schemas.openxmlformats.org/officeDocument/2006/relationships/hyperlink" Target="https://docs.cntd.ru/document/901991977" TargetMode="External"/><Relationship Id="rId27" Type="http://schemas.openxmlformats.org/officeDocument/2006/relationships/hyperlink" Target="https://docs.cntd.ru/document/499012340" TargetMode="External"/><Relationship Id="rId30" Type="http://schemas.openxmlformats.org/officeDocument/2006/relationships/hyperlink" Target="https://docs.cntd.ru/document/4990123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5356</Words>
  <Characters>30534</Characters>
  <Application>Microsoft Office Word</Application>
  <DocSecurity>0</DocSecurity>
  <Lines>254</Lines>
  <Paragraphs>71</Paragraphs>
  <ScaleCrop>false</ScaleCrop>
  <Company/>
  <LinksUpToDate>false</LinksUpToDate>
  <CharactersWithSpaces>35819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zudovo</cp:lastModifiedBy>
  <cp:revision>2</cp:revision>
  <dcterms:created xsi:type="dcterms:W3CDTF">2022-05-16T03:35:00Z</dcterms:created>
  <dcterms:modified xsi:type="dcterms:W3CDTF">2022-05-16T03:35:00Z</dcterms:modified>
</cp:coreProperties>
</file>